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
        <w:jc w:val="center"/>
        <w:rPr>
          <w:b w:val="1"/>
          <w:sz w:val="28"/>
          <w:szCs w:val="28"/>
        </w:rPr>
      </w:pPr>
      <w:r w:rsidDel="00000000" w:rsidR="00000000" w:rsidRPr="00000000">
        <w:rPr>
          <w:b w:val="1"/>
          <w:sz w:val="28"/>
          <w:szCs w:val="28"/>
          <w:rtl w:val="0"/>
        </w:rPr>
        <w:t xml:space="preserve">Title of the manuscript</w:t>
      </w:r>
    </w:p>
    <w:p w:rsidR="00000000" w:rsidDel="00000000" w:rsidP="00000000" w:rsidRDefault="00000000" w:rsidRPr="00000000" w14:paraId="00000002">
      <w:pPr>
        <w:ind w:right="1"/>
        <w:jc w:val="center"/>
        <w:rPr>
          <w:smallCaps w:val="1"/>
          <w:sz w:val="24"/>
          <w:szCs w:val="24"/>
        </w:rPr>
      </w:pPr>
      <w:r w:rsidDel="00000000" w:rsidR="00000000" w:rsidRPr="00000000">
        <w:rPr>
          <w:b w:val="1"/>
          <w:sz w:val="24"/>
          <w:szCs w:val="24"/>
          <w:rtl w:val="0"/>
        </w:rPr>
        <w:t xml:space="preserve">Forename, Surname</w:t>
      </w:r>
      <w:r w:rsidDel="00000000" w:rsidR="00000000" w:rsidRPr="00000000">
        <w:rPr>
          <w:smallCaps w:val="1"/>
          <w:sz w:val="24"/>
          <w:szCs w:val="24"/>
          <w:vertAlign w:val="superscript"/>
        </w:rPr>
        <w:footnoteReference w:customMarkFollows="0" w:id="0"/>
      </w:r>
      <w:r w:rsidDel="00000000" w:rsidR="00000000" w:rsidRPr="00000000">
        <w:rPr>
          <w:smallCaps w:val="1"/>
          <w:sz w:val="24"/>
          <w:szCs w:val="24"/>
          <w:vertAlign w:val="superscript"/>
          <w:rtl w:val="0"/>
        </w:rPr>
        <w:t xml:space="preserve">*</w:t>
      </w:r>
      <w:r w:rsidDel="00000000" w:rsidR="00000000" w:rsidRPr="00000000">
        <w:rPr>
          <w:rtl w:val="0"/>
        </w:rPr>
      </w:r>
    </w:p>
    <w:p w:rsidR="00000000" w:rsidDel="00000000" w:rsidP="00000000" w:rsidRDefault="00000000" w:rsidRPr="00000000" w14:paraId="00000003">
      <w:pPr>
        <w:tabs>
          <w:tab w:val="left" w:pos="4230"/>
          <w:tab w:val="left" w:pos="4620"/>
        </w:tabs>
        <w:ind w:right="1"/>
        <w:jc w:val="left"/>
        <w:rPr>
          <w:b w:val="1"/>
          <w:sz w:val="24"/>
          <w:szCs w:val="24"/>
        </w:rPr>
      </w:pPr>
      <w:r w:rsidDel="00000000" w:rsidR="00000000" w:rsidRPr="00000000">
        <w:rPr>
          <w:rtl w:val="0"/>
        </w:rPr>
      </w:r>
    </w:p>
    <w:p w:rsidR="00000000" w:rsidDel="00000000" w:rsidP="00000000" w:rsidRDefault="00000000" w:rsidRPr="00000000" w14:paraId="00000004">
      <w:pPr>
        <w:ind w:right="1"/>
        <w:rPr/>
      </w:pPr>
      <w:r w:rsidDel="00000000" w:rsidR="00000000" w:rsidRPr="00000000">
        <w:rPr>
          <w:b w:val="1"/>
          <w:rtl w:val="0"/>
        </w:rPr>
        <w:t xml:space="preserve">Abstract: </w:t>
      </w:r>
      <w:r w:rsidDel="00000000" w:rsidR="00000000" w:rsidRPr="00000000">
        <w:rPr>
          <w:rtl w:val="0"/>
        </w:rPr>
        <w:t xml:space="preserve">Enter an abstract of up to 300 words for all articles. Use Times New Roman, 10 pt. An abstract is a concise summary of the whole paper, not just the conclusions, and is understandable without reference to the rest of the paper. It should contain no citation to other published work.</w:t>
      </w:r>
    </w:p>
    <w:p w:rsidR="00000000" w:rsidDel="00000000" w:rsidP="00000000" w:rsidRDefault="00000000" w:rsidRPr="00000000" w14:paraId="00000005">
      <w:pPr>
        <w:tabs>
          <w:tab w:val="left" w:pos="5220"/>
        </w:tabs>
        <w:ind w:right="1"/>
        <w:rPr>
          <w:b w:val="1"/>
        </w:rPr>
      </w:pPr>
      <w:r w:rsidDel="00000000" w:rsidR="00000000" w:rsidRPr="00000000">
        <w:rPr>
          <w:rtl w:val="0"/>
        </w:rPr>
      </w:r>
    </w:p>
    <w:p w:rsidR="00000000" w:rsidDel="00000000" w:rsidP="00000000" w:rsidRDefault="00000000" w:rsidRPr="00000000" w14:paraId="00000006">
      <w:pPr>
        <w:tabs>
          <w:tab w:val="left" w:pos="5220"/>
        </w:tabs>
        <w:ind w:right="1"/>
        <w:rPr>
          <w:b w:val="1"/>
        </w:rPr>
      </w:pPr>
      <w:r w:rsidDel="00000000" w:rsidR="00000000" w:rsidRPr="00000000">
        <w:rPr>
          <w:b w:val="1"/>
          <w:rtl w:val="0"/>
        </w:rPr>
        <w:t xml:space="preserve">Keywords: </w:t>
      </w:r>
      <w:r w:rsidDel="00000000" w:rsidR="00000000" w:rsidRPr="00000000">
        <w:rPr>
          <w:rtl w:val="0"/>
        </w:rPr>
        <w:t xml:space="preserve">up to five keywords. Use Times New Roman, 10 pt.</w:t>
      </w:r>
      <w:r w:rsidDel="00000000" w:rsidR="00000000" w:rsidRPr="00000000">
        <w:rPr>
          <w:rtl w:val="0"/>
        </w:rPr>
      </w:r>
    </w:p>
    <w:p w:rsidR="00000000" w:rsidDel="00000000" w:rsidP="00000000" w:rsidRDefault="00000000" w:rsidRPr="00000000" w14:paraId="00000007">
      <w:pPr>
        <w:tabs>
          <w:tab w:val="left" w:pos="5220"/>
        </w:tabs>
        <w:ind w:right="1"/>
        <w:rPr>
          <w:b w:val="1"/>
          <w:sz w:val="24"/>
          <w:szCs w:val="24"/>
        </w:rPr>
      </w:pPr>
      <w:r w:rsidDel="00000000" w:rsidR="00000000" w:rsidRPr="00000000">
        <w:rPr>
          <w:rtl w:val="0"/>
        </w:rPr>
      </w:r>
    </w:p>
    <w:p w:rsidR="00000000" w:rsidDel="00000000" w:rsidP="00000000" w:rsidRDefault="00000000" w:rsidRPr="00000000" w14:paraId="00000008">
      <w:pPr>
        <w:ind w:right="1"/>
        <w:rPr>
          <w:b w:val="1"/>
          <w:sz w:val="24"/>
          <w:szCs w:val="24"/>
        </w:rPr>
      </w:pPr>
      <w:r w:rsidDel="00000000" w:rsidR="00000000" w:rsidRPr="00000000">
        <w:rPr>
          <w:rtl w:val="0"/>
        </w:rPr>
      </w:r>
    </w:p>
    <w:p w:rsidR="00000000" w:rsidDel="00000000" w:rsidP="00000000" w:rsidRDefault="00000000" w:rsidRPr="00000000" w14:paraId="00000009">
      <w:pPr>
        <w:ind w:left="709" w:right="1" w:hanging="709"/>
        <w:rPr>
          <w:b w:val="1"/>
          <w:sz w:val="24"/>
          <w:szCs w:val="24"/>
        </w:rPr>
      </w:pPr>
      <w:r w:rsidDel="00000000" w:rsidR="00000000" w:rsidRPr="00000000">
        <w:rPr>
          <w:b w:val="1"/>
          <w:sz w:val="24"/>
          <w:szCs w:val="24"/>
          <w:rtl w:val="0"/>
        </w:rPr>
        <w:t xml:space="preserve">1. Chapter Title – General Characteristics</w:t>
      </w:r>
    </w:p>
    <w:p w:rsidR="00000000" w:rsidDel="00000000" w:rsidP="00000000" w:rsidRDefault="00000000" w:rsidRPr="00000000" w14:paraId="0000000A">
      <w:pPr>
        <w:ind w:right="1"/>
        <w:rPr>
          <w:sz w:val="24"/>
          <w:szCs w:val="24"/>
        </w:rPr>
      </w:pPr>
      <w:r w:rsidDel="00000000" w:rsidR="00000000" w:rsidRPr="00000000">
        <w:rPr>
          <w:sz w:val="24"/>
          <w:szCs w:val="24"/>
          <w:rtl w:val="0"/>
        </w:rPr>
        <w:t xml:space="preserve">The language of the journal is English. 12-point type in Times New Roman font. Use a separate line between paragraphs. Use regular font style, </w:t>
      </w:r>
      <w:r w:rsidDel="00000000" w:rsidR="00000000" w:rsidRPr="00000000">
        <w:rPr>
          <w:i w:val="1"/>
          <w:sz w:val="24"/>
          <w:szCs w:val="24"/>
          <w:rtl w:val="0"/>
        </w:rPr>
        <w:t xml:space="preserve">for highlighting text use italic. </w:t>
      </w:r>
      <w:r w:rsidDel="00000000" w:rsidR="00000000" w:rsidRPr="00000000">
        <w:rPr>
          <w:sz w:val="24"/>
          <w:szCs w:val="24"/>
          <w:rtl w:val="0"/>
        </w:rPr>
        <w:t xml:space="preserve">Apart from exceptional cases, the Journal accepts manuscripts for review that are above 20.000 characters (with spaces) and below 40.000 characters (with spaces) including tables and endnotes. Tables and figures must be incorporated into the main text.</w:t>
      </w:r>
    </w:p>
    <w:p w:rsidR="00000000" w:rsidDel="00000000" w:rsidP="00000000" w:rsidRDefault="00000000" w:rsidRPr="00000000" w14:paraId="0000000B">
      <w:pPr>
        <w:ind w:right="1"/>
        <w:rPr>
          <w:sz w:val="24"/>
          <w:szCs w:val="24"/>
        </w:rPr>
      </w:pPr>
      <w:r w:rsidDel="00000000" w:rsidR="00000000" w:rsidRPr="00000000">
        <w:rPr>
          <w:rtl w:val="0"/>
        </w:rPr>
      </w:r>
    </w:p>
    <w:p w:rsidR="00000000" w:rsidDel="00000000" w:rsidP="00000000" w:rsidRDefault="00000000" w:rsidRPr="00000000" w14:paraId="0000000C">
      <w:pPr>
        <w:ind w:right="1"/>
        <w:rPr>
          <w:sz w:val="24"/>
          <w:szCs w:val="24"/>
        </w:rPr>
      </w:pPr>
      <w:r w:rsidDel="00000000" w:rsidR="00000000" w:rsidRPr="00000000">
        <w:rPr>
          <w:sz w:val="24"/>
          <w:szCs w:val="24"/>
          <w:rtl w:val="0"/>
        </w:rPr>
        <w:t xml:space="preserve">Tables and graphs used in text should be entitled and numbered. The source of their origin must be indicated below each table and/or graph. </w:t>
      </w:r>
    </w:p>
    <w:p w:rsidR="00000000" w:rsidDel="00000000" w:rsidP="00000000" w:rsidRDefault="00000000" w:rsidRPr="00000000" w14:paraId="0000000D">
      <w:pPr>
        <w:ind w:left="709" w:right="1" w:hanging="709"/>
        <w:rPr>
          <w:sz w:val="24"/>
          <w:szCs w:val="24"/>
        </w:rPr>
      </w:pPr>
      <w:r w:rsidDel="00000000" w:rsidR="00000000" w:rsidRPr="00000000">
        <w:rPr>
          <w:rtl w:val="0"/>
        </w:rPr>
      </w:r>
    </w:p>
    <w:p w:rsidR="00000000" w:rsidDel="00000000" w:rsidP="00000000" w:rsidRDefault="00000000" w:rsidRPr="00000000" w14:paraId="0000000E">
      <w:pPr>
        <w:ind w:left="709" w:right="1" w:hanging="709"/>
        <w:jc w:val="center"/>
        <w:rPr>
          <w:sz w:val="24"/>
          <w:szCs w:val="24"/>
        </w:rPr>
      </w:pPr>
      <w:r w:rsidDel="00000000" w:rsidR="00000000" w:rsidRPr="00000000">
        <w:rPr>
          <w:sz w:val="24"/>
          <w:szCs w:val="24"/>
          <w:rtl w:val="0"/>
        </w:rPr>
        <w:t xml:space="preserve">Table 1. Exemplary table in an Article</w:t>
      </w:r>
    </w:p>
    <w:tbl>
      <w:tblPr>
        <w:tblStyle w:val="Table1"/>
        <w:tblW w:w="8580.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0"/>
        <w:gridCol w:w="2860"/>
        <w:gridCol w:w="2860"/>
        <w:tblGridChange w:id="0">
          <w:tblGrid>
            <w:gridCol w:w="2860"/>
            <w:gridCol w:w="2860"/>
            <w:gridCol w:w="2860"/>
          </w:tblGrid>
        </w:tblGridChange>
      </w:tblGrid>
      <w:tr>
        <w:trPr>
          <w:cantSplit w:val="0"/>
          <w:tblHeader w:val="0"/>
        </w:trPr>
        <w:tc>
          <w:tcPr/>
          <w:p w:rsidR="00000000" w:rsidDel="00000000" w:rsidP="00000000" w:rsidRDefault="00000000" w:rsidRPr="00000000" w14:paraId="0000000F">
            <w:pPr>
              <w:ind w:right="1"/>
              <w:jc w:val="center"/>
              <w:rPr>
                <w:sz w:val="24"/>
                <w:szCs w:val="24"/>
              </w:rPr>
            </w:pPr>
            <w:r w:rsidDel="00000000" w:rsidR="00000000" w:rsidRPr="00000000">
              <w:rPr>
                <w:sz w:val="24"/>
                <w:szCs w:val="24"/>
                <w:rtl w:val="0"/>
              </w:rPr>
              <w:t xml:space="preserve">Category 1</w:t>
            </w:r>
          </w:p>
        </w:tc>
        <w:tc>
          <w:tcPr/>
          <w:p w:rsidR="00000000" w:rsidDel="00000000" w:rsidP="00000000" w:rsidRDefault="00000000" w:rsidRPr="00000000" w14:paraId="00000010">
            <w:pPr>
              <w:ind w:right="1"/>
              <w:jc w:val="center"/>
              <w:rPr>
                <w:sz w:val="24"/>
                <w:szCs w:val="24"/>
              </w:rPr>
            </w:pPr>
            <w:r w:rsidDel="00000000" w:rsidR="00000000" w:rsidRPr="00000000">
              <w:rPr>
                <w:sz w:val="24"/>
                <w:szCs w:val="24"/>
                <w:rtl w:val="0"/>
              </w:rPr>
              <w:t xml:space="preserve">Category 2</w:t>
            </w:r>
          </w:p>
        </w:tc>
        <w:tc>
          <w:tcPr/>
          <w:p w:rsidR="00000000" w:rsidDel="00000000" w:rsidP="00000000" w:rsidRDefault="00000000" w:rsidRPr="00000000" w14:paraId="00000011">
            <w:pPr>
              <w:ind w:right="1"/>
              <w:jc w:val="center"/>
              <w:rPr>
                <w:sz w:val="24"/>
                <w:szCs w:val="24"/>
              </w:rPr>
            </w:pPr>
            <w:r w:rsidDel="00000000" w:rsidR="00000000" w:rsidRPr="00000000">
              <w:rPr>
                <w:sz w:val="24"/>
                <w:szCs w:val="24"/>
                <w:rtl w:val="0"/>
              </w:rPr>
              <w:t xml:space="preserve">Category 3</w:t>
            </w:r>
          </w:p>
        </w:tc>
      </w:tr>
      <w:tr>
        <w:trPr>
          <w:cantSplit w:val="0"/>
          <w:tblHeader w:val="0"/>
        </w:trPr>
        <w:tc>
          <w:tcPr/>
          <w:p w:rsidR="00000000" w:rsidDel="00000000" w:rsidP="00000000" w:rsidRDefault="00000000" w:rsidRPr="00000000" w14:paraId="00000012">
            <w:pPr>
              <w:ind w:right="1"/>
              <w:rPr>
                <w:sz w:val="24"/>
                <w:szCs w:val="24"/>
              </w:rPr>
            </w:pPr>
            <w:r w:rsidDel="00000000" w:rsidR="00000000" w:rsidRPr="00000000">
              <w:rPr>
                <w:sz w:val="24"/>
                <w:szCs w:val="24"/>
                <w:rtl w:val="0"/>
              </w:rPr>
              <w:t xml:space="preserve">text 1</w:t>
            </w:r>
          </w:p>
        </w:tc>
        <w:tc>
          <w:tcPr/>
          <w:p w:rsidR="00000000" w:rsidDel="00000000" w:rsidP="00000000" w:rsidRDefault="00000000" w:rsidRPr="00000000" w14:paraId="00000013">
            <w:pPr>
              <w:ind w:right="1"/>
              <w:jc w:val="center"/>
              <w:rPr>
                <w:sz w:val="24"/>
                <w:szCs w:val="24"/>
              </w:rPr>
            </w:pPr>
            <w:r w:rsidDel="00000000" w:rsidR="00000000" w:rsidRPr="00000000">
              <w:rPr>
                <w:sz w:val="24"/>
                <w:szCs w:val="24"/>
                <w:rtl w:val="0"/>
              </w:rPr>
              <w:t xml:space="preserve">123</w:t>
            </w:r>
          </w:p>
        </w:tc>
        <w:tc>
          <w:tcPr/>
          <w:p w:rsidR="00000000" w:rsidDel="00000000" w:rsidP="00000000" w:rsidRDefault="00000000" w:rsidRPr="00000000" w14:paraId="00000014">
            <w:pPr>
              <w:ind w:right="1"/>
              <w:jc w:val="center"/>
              <w:rPr>
                <w:sz w:val="24"/>
                <w:szCs w:val="24"/>
              </w:rPr>
            </w:pPr>
            <w:r w:rsidDel="00000000" w:rsidR="00000000" w:rsidRPr="00000000">
              <w:rPr>
                <w:sz w:val="24"/>
                <w:szCs w:val="24"/>
                <w:rtl w:val="0"/>
              </w:rPr>
              <w:t xml:space="preserve">451</w:t>
            </w:r>
          </w:p>
        </w:tc>
      </w:tr>
      <w:tr>
        <w:trPr>
          <w:cantSplit w:val="0"/>
          <w:tblHeader w:val="0"/>
        </w:trPr>
        <w:tc>
          <w:tcPr/>
          <w:p w:rsidR="00000000" w:rsidDel="00000000" w:rsidP="00000000" w:rsidRDefault="00000000" w:rsidRPr="00000000" w14:paraId="00000015">
            <w:pPr>
              <w:ind w:right="1"/>
              <w:rPr>
                <w:sz w:val="24"/>
                <w:szCs w:val="24"/>
              </w:rPr>
            </w:pPr>
            <w:r w:rsidDel="00000000" w:rsidR="00000000" w:rsidRPr="00000000">
              <w:rPr>
                <w:sz w:val="24"/>
                <w:szCs w:val="24"/>
                <w:rtl w:val="0"/>
              </w:rPr>
              <w:t xml:space="preserve">text 2 </w:t>
            </w:r>
          </w:p>
        </w:tc>
        <w:tc>
          <w:tcPr/>
          <w:p w:rsidR="00000000" w:rsidDel="00000000" w:rsidP="00000000" w:rsidRDefault="00000000" w:rsidRPr="00000000" w14:paraId="00000016">
            <w:pPr>
              <w:ind w:right="1"/>
              <w:jc w:val="center"/>
              <w:rPr>
                <w:sz w:val="24"/>
                <w:szCs w:val="24"/>
              </w:rPr>
            </w:pPr>
            <w:r w:rsidDel="00000000" w:rsidR="00000000" w:rsidRPr="00000000">
              <w:rPr>
                <w:sz w:val="24"/>
                <w:szCs w:val="24"/>
                <w:rtl w:val="0"/>
              </w:rPr>
              <w:t xml:space="preserve">456</w:t>
            </w:r>
          </w:p>
        </w:tc>
        <w:tc>
          <w:tcPr/>
          <w:p w:rsidR="00000000" w:rsidDel="00000000" w:rsidP="00000000" w:rsidRDefault="00000000" w:rsidRPr="00000000" w14:paraId="00000017">
            <w:pPr>
              <w:ind w:right="1"/>
              <w:jc w:val="center"/>
              <w:rPr>
                <w:sz w:val="24"/>
                <w:szCs w:val="24"/>
              </w:rPr>
            </w:pPr>
            <w:r w:rsidDel="00000000" w:rsidR="00000000" w:rsidRPr="00000000">
              <w:rPr>
                <w:sz w:val="24"/>
                <w:szCs w:val="24"/>
                <w:rtl w:val="0"/>
              </w:rPr>
              <w:t xml:space="preserve">879</w:t>
            </w:r>
          </w:p>
        </w:tc>
      </w:tr>
      <w:tr>
        <w:trPr>
          <w:cantSplit w:val="0"/>
          <w:tblHeader w:val="0"/>
        </w:trPr>
        <w:tc>
          <w:tcPr/>
          <w:p w:rsidR="00000000" w:rsidDel="00000000" w:rsidP="00000000" w:rsidRDefault="00000000" w:rsidRPr="00000000" w14:paraId="00000018">
            <w:pPr>
              <w:ind w:right="1"/>
              <w:rPr>
                <w:sz w:val="24"/>
                <w:szCs w:val="24"/>
              </w:rPr>
            </w:pPr>
            <w:r w:rsidDel="00000000" w:rsidR="00000000" w:rsidRPr="00000000">
              <w:rPr>
                <w:sz w:val="24"/>
                <w:szCs w:val="24"/>
                <w:rtl w:val="0"/>
              </w:rPr>
              <w:t xml:space="preserve">text 3 </w:t>
            </w:r>
          </w:p>
        </w:tc>
        <w:tc>
          <w:tcPr/>
          <w:p w:rsidR="00000000" w:rsidDel="00000000" w:rsidP="00000000" w:rsidRDefault="00000000" w:rsidRPr="00000000" w14:paraId="00000019">
            <w:pPr>
              <w:ind w:right="1"/>
              <w:jc w:val="center"/>
              <w:rPr>
                <w:sz w:val="24"/>
                <w:szCs w:val="24"/>
              </w:rPr>
            </w:pPr>
            <w:r w:rsidDel="00000000" w:rsidR="00000000" w:rsidRPr="00000000">
              <w:rPr>
                <w:sz w:val="24"/>
                <w:szCs w:val="24"/>
                <w:rtl w:val="0"/>
              </w:rPr>
              <w:t xml:space="preserve">458</w:t>
            </w:r>
          </w:p>
        </w:tc>
        <w:tc>
          <w:tcPr/>
          <w:p w:rsidR="00000000" w:rsidDel="00000000" w:rsidP="00000000" w:rsidRDefault="00000000" w:rsidRPr="00000000" w14:paraId="0000001A">
            <w:pPr>
              <w:ind w:right="1"/>
              <w:jc w:val="center"/>
              <w:rPr>
                <w:sz w:val="24"/>
                <w:szCs w:val="24"/>
              </w:rPr>
            </w:pPr>
            <w:r w:rsidDel="00000000" w:rsidR="00000000" w:rsidRPr="00000000">
              <w:rPr>
                <w:sz w:val="24"/>
                <w:szCs w:val="24"/>
                <w:rtl w:val="0"/>
              </w:rPr>
              <w:t xml:space="preserve">222</w:t>
            </w:r>
          </w:p>
        </w:tc>
      </w:tr>
      <w:tr>
        <w:trPr>
          <w:cantSplit w:val="0"/>
          <w:tblHeader w:val="0"/>
        </w:trPr>
        <w:tc>
          <w:tcPr/>
          <w:p w:rsidR="00000000" w:rsidDel="00000000" w:rsidP="00000000" w:rsidRDefault="00000000" w:rsidRPr="00000000" w14:paraId="0000001B">
            <w:pPr>
              <w:ind w:right="1"/>
              <w:rPr>
                <w:sz w:val="24"/>
                <w:szCs w:val="24"/>
              </w:rPr>
            </w:pPr>
            <w:r w:rsidDel="00000000" w:rsidR="00000000" w:rsidRPr="00000000">
              <w:rPr>
                <w:sz w:val="24"/>
                <w:szCs w:val="24"/>
                <w:rtl w:val="0"/>
              </w:rPr>
              <w:t xml:space="preserve">text 4</w:t>
            </w:r>
          </w:p>
        </w:tc>
        <w:tc>
          <w:tcPr/>
          <w:p w:rsidR="00000000" w:rsidDel="00000000" w:rsidP="00000000" w:rsidRDefault="00000000" w:rsidRPr="00000000" w14:paraId="0000001C">
            <w:pPr>
              <w:ind w:right="1"/>
              <w:jc w:val="center"/>
              <w:rPr>
                <w:sz w:val="24"/>
                <w:szCs w:val="24"/>
              </w:rPr>
            </w:pPr>
            <w:r w:rsidDel="00000000" w:rsidR="00000000" w:rsidRPr="00000000">
              <w:rPr>
                <w:sz w:val="24"/>
                <w:szCs w:val="24"/>
                <w:rtl w:val="0"/>
              </w:rPr>
              <w:t xml:space="preserve">877</w:t>
            </w:r>
          </w:p>
        </w:tc>
        <w:tc>
          <w:tcPr/>
          <w:p w:rsidR="00000000" w:rsidDel="00000000" w:rsidP="00000000" w:rsidRDefault="00000000" w:rsidRPr="00000000" w14:paraId="0000001D">
            <w:pPr>
              <w:ind w:right="1"/>
              <w:jc w:val="center"/>
              <w:rPr>
                <w:sz w:val="24"/>
                <w:szCs w:val="24"/>
              </w:rPr>
            </w:pPr>
            <w:r w:rsidDel="00000000" w:rsidR="00000000" w:rsidRPr="00000000">
              <w:rPr>
                <w:sz w:val="24"/>
                <w:szCs w:val="24"/>
                <w:rtl w:val="0"/>
              </w:rPr>
              <w:t xml:space="preserve">989</w:t>
            </w:r>
          </w:p>
        </w:tc>
      </w:tr>
      <w:tr>
        <w:trPr>
          <w:cantSplit w:val="0"/>
          <w:tblHeader w:val="0"/>
        </w:trPr>
        <w:tc>
          <w:tcPr/>
          <w:p w:rsidR="00000000" w:rsidDel="00000000" w:rsidP="00000000" w:rsidRDefault="00000000" w:rsidRPr="00000000" w14:paraId="0000001E">
            <w:pPr>
              <w:ind w:right="1"/>
              <w:rPr>
                <w:sz w:val="24"/>
                <w:szCs w:val="24"/>
              </w:rPr>
            </w:pPr>
            <w:r w:rsidDel="00000000" w:rsidR="00000000" w:rsidRPr="00000000">
              <w:rPr>
                <w:sz w:val="24"/>
                <w:szCs w:val="24"/>
                <w:rtl w:val="0"/>
              </w:rPr>
              <w:t xml:space="preserve">text 5</w:t>
            </w:r>
          </w:p>
        </w:tc>
        <w:tc>
          <w:tcPr/>
          <w:p w:rsidR="00000000" w:rsidDel="00000000" w:rsidP="00000000" w:rsidRDefault="00000000" w:rsidRPr="00000000" w14:paraId="0000001F">
            <w:pPr>
              <w:ind w:right="1"/>
              <w:jc w:val="center"/>
              <w:rPr>
                <w:sz w:val="24"/>
                <w:szCs w:val="24"/>
              </w:rPr>
            </w:pPr>
            <w:r w:rsidDel="00000000" w:rsidR="00000000" w:rsidRPr="00000000">
              <w:rPr>
                <w:sz w:val="24"/>
                <w:szCs w:val="24"/>
                <w:rtl w:val="0"/>
              </w:rPr>
              <w:t xml:space="preserve">668</w:t>
            </w:r>
          </w:p>
        </w:tc>
        <w:tc>
          <w:tcPr/>
          <w:p w:rsidR="00000000" w:rsidDel="00000000" w:rsidP="00000000" w:rsidRDefault="00000000" w:rsidRPr="00000000" w14:paraId="00000020">
            <w:pPr>
              <w:ind w:right="1"/>
              <w:jc w:val="center"/>
              <w:rPr>
                <w:sz w:val="24"/>
                <w:szCs w:val="24"/>
              </w:rPr>
            </w:pPr>
            <w:r w:rsidDel="00000000" w:rsidR="00000000" w:rsidRPr="00000000">
              <w:rPr>
                <w:sz w:val="24"/>
                <w:szCs w:val="24"/>
                <w:rtl w:val="0"/>
              </w:rPr>
              <w:t xml:space="preserve">713</w:t>
            </w:r>
          </w:p>
        </w:tc>
      </w:tr>
    </w:tbl>
    <w:p w:rsidR="00000000" w:rsidDel="00000000" w:rsidP="00000000" w:rsidRDefault="00000000" w:rsidRPr="00000000" w14:paraId="00000021">
      <w:pPr>
        <w:ind w:left="709" w:right="1" w:hanging="709"/>
        <w:rPr>
          <w:sz w:val="24"/>
          <w:szCs w:val="24"/>
        </w:rPr>
      </w:pPr>
      <w:r w:rsidDel="00000000" w:rsidR="00000000" w:rsidRPr="00000000">
        <w:rPr>
          <w:sz w:val="24"/>
          <w:szCs w:val="24"/>
          <w:rtl w:val="0"/>
        </w:rPr>
        <w:t xml:space="preserve">  Source: author’s own research and editing.</w:t>
      </w:r>
    </w:p>
    <w:p w:rsidR="00000000" w:rsidDel="00000000" w:rsidP="00000000" w:rsidRDefault="00000000" w:rsidRPr="00000000" w14:paraId="00000022">
      <w:pPr>
        <w:ind w:left="709" w:right="1" w:hanging="709"/>
        <w:rPr>
          <w:sz w:val="24"/>
          <w:szCs w:val="24"/>
        </w:rPr>
      </w:pPr>
      <w:r w:rsidDel="00000000" w:rsidR="00000000" w:rsidRPr="00000000">
        <w:rPr>
          <w:rtl w:val="0"/>
        </w:rPr>
      </w:r>
    </w:p>
    <w:p w:rsidR="00000000" w:rsidDel="00000000" w:rsidP="00000000" w:rsidRDefault="00000000" w:rsidRPr="00000000" w14:paraId="00000023">
      <w:pPr>
        <w:spacing w:after="160" w:lineRule="auto"/>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200" w:lineRule="auto"/>
        <w:jc w:val="center"/>
        <w:rPr>
          <w:sz w:val="24"/>
          <w:szCs w:val="24"/>
        </w:rPr>
      </w:pPr>
      <w:r w:rsidDel="00000000" w:rsidR="00000000" w:rsidRPr="00000000">
        <w:rPr>
          <w:sz w:val="24"/>
          <w:szCs w:val="24"/>
          <w:rtl w:val="0"/>
        </w:rPr>
        <w:t xml:space="preserve">Graph 1. Exemplary graph in an Article</w:t>
      </w:r>
    </w:p>
    <w:p w:rsidR="00000000" w:rsidDel="00000000" w:rsidP="00000000" w:rsidRDefault="00000000" w:rsidRPr="00000000" w14:paraId="00000025">
      <w:pPr>
        <w:spacing w:after="200" w:lineRule="auto"/>
        <w:ind w:left="567" w:firstLine="0"/>
        <w:rPr>
          <w:sz w:val="24"/>
          <w:szCs w:val="24"/>
        </w:rPr>
      </w:pPr>
      <w:r w:rsidDel="00000000" w:rsidR="00000000" w:rsidRPr="00000000">
        <w:rPr>
          <w:sz w:val="24"/>
          <w:szCs w:val="24"/>
        </w:rPr>
        <w:drawing>
          <wp:inline distB="0" distT="0" distL="0" distR="0">
            <wp:extent cx="5426407" cy="3200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26407"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ab/>
        <w:t xml:space="preserve">Source: author’s own research and editing.</w:t>
      </w:r>
    </w:p>
    <w:p w:rsidR="00000000" w:rsidDel="00000000" w:rsidP="00000000" w:rsidRDefault="00000000" w:rsidRPr="00000000" w14:paraId="00000027">
      <w:pPr>
        <w:ind w:right="1"/>
        <w:rPr>
          <w:sz w:val="24"/>
          <w:szCs w:val="24"/>
        </w:rPr>
      </w:pPr>
      <w:r w:rsidDel="00000000" w:rsidR="00000000" w:rsidRPr="00000000">
        <w:rPr>
          <w:rtl w:val="0"/>
        </w:rPr>
      </w:r>
    </w:p>
    <w:p w:rsidR="00000000" w:rsidDel="00000000" w:rsidP="00000000" w:rsidRDefault="00000000" w:rsidRPr="00000000" w14:paraId="00000028">
      <w:pPr>
        <w:ind w:left="709" w:right="1" w:hanging="709"/>
        <w:rPr>
          <w:b w:val="1"/>
          <w:sz w:val="24"/>
          <w:szCs w:val="24"/>
        </w:rPr>
      </w:pPr>
      <w:r w:rsidDel="00000000" w:rsidR="00000000" w:rsidRPr="00000000">
        <w:rPr>
          <w:b w:val="1"/>
          <w:sz w:val="24"/>
          <w:szCs w:val="24"/>
          <w:rtl w:val="0"/>
        </w:rPr>
        <w:t xml:space="preserve">1.1. Subchapter Title</w:t>
      </w:r>
    </w:p>
    <w:p w:rsidR="00000000" w:rsidDel="00000000" w:rsidP="00000000" w:rsidRDefault="00000000" w:rsidRPr="00000000" w14:paraId="00000029">
      <w:pPr>
        <w:ind w:right="1"/>
        <w:rPr>
          <w:sz w:val="24"/>
          <w:szCs w:val="24"/>
        </w:rPr>
      </w:pPr>
      <w:r w:rsidDel="00000000" w:rsidR="00000000" w:rsidRPr="00000000">
        <w:rPr>
          <w:sz w:val="24"/>
          <w:szCs w:val="24"/>
          <w:rtl w:val="0"/>
        </w:rPr>
        <w:t xml:space="preserve">The text can use more levels of chapters/subchapters.</w:t>
      </w:r>
    </w:p>
    <w:p w:rsidR="00000000" w:rsidDel="00000000" w:rsidP="00000000" w:rsidRDefault="00000000" w:rsidRPr="00000000" w14:paraId="0000002A">
      <w:pPr>
        <w:ind w:left="709" w:right="1" w:hanging="709"/>
        <w:rPr>
          <w:i w:val="1"/>
          <w:sz w:val="24"/>
          <w:szCs w:val="24"/>
        </w:rPr>
      </w:pPr>
      <w:r w:rsidDel="00000000" w:rsidR="00000000" w:rsidRPr="00000000">
        <w:rPr>
          <w:rtl w:val="0"/>
        </w:rPr>
      </w:r>
    </w:p>
    <w:p w:rsidR="00000000" w:rsidDel="00000000" w:rsidP="00000000" w:rsidRDefault="00000000" w:rsidRPr="00000000" w14:paraId="0000002B">
      <w:pPr>
        <w:ind w:left="709" w:right="1" w:hanging="709"/>
        <w:rPr>
          <w:b w:val="1"/>
          <w:sz w:val="24"/>
          <w:szCs w:val="24"/>
        </w:rPr>
      </w:pPr>
      <w:r w:rsidDel="00000000" w:rsidR="00000000" w:rsidRPr="00000000">
        <w:rPr>
          <w:rtl w:val="0"/>
        </w:rPr>
      </w:r>
    </w:p>
    <w:p w:rsidR="00000000" w:rsidDel="00000000" w:rsidP="00000000" w:rsidRDefault="00000000" w:rsidRPr="00000000" w14:paraId="0000002C">
      <w:pPr>
        <w:ind w:left="709" w:right="1" w:hanging="709"/>
        <w:rPr>
          <w:b w:val="1"/>
          <w:sz w:val="24"/>
          <w:szCs w:val="24"/>
        </w:rPr>
      </w:pPr>
      <w:r w:rsidDel="00000000" w:rsidR="00000000" w:rsidRPr="00000000">
        <w:rPr>
          <w:b w:val="1"/>
          <w:sz w:val="24"/>
          <w:szCs w:val="24"/>
          <w:rtl w:val="0"/>
        </w:rPr>
        <w:t xml:space="preserve">Conclusions</w:t>
      </w:r>
    </w:p>
    <w:p w:rsidR="00000000" w:rsidDel="00000000" w:rsidP="00000000" w:rsidRDefault="00000000" w:rsidRPr="00000000" w14:paraId="0000002D">
      <w:pPr>
        <w:tabs>
          <w:tab w:val="left" w:pos="9072"/>
        </w:tabs>
        <w:ind w:right="1"/>
        <w:rPr>
          <w:sz w:val="24"/>
          <w:szCs w:val="24"/>
        </w:rPr>
      </w:pPr>
      <w:r w:rsidDel="00000000" w:rsidR="00000000" w:rsidRPr="00000000">
        <w:rPr>
          <w:sz w:val="24"/>
          <w:szCs w:val="24"/>
          <w:rtl w:val="0"/>
        </w:rPr>
        <w:t xml:space="preserve">Make an obligatory conclusion. Mention how aims were met and if the hypothesis was confirmed or disproved.</w:t>
      </w:r>
    </w:p>
    <w:p w:rsidR="00000000" w:rsidDel="00000000" w:rsidP="00000000" w:rsidRDefault="00000000" w:rsidRPr="00000000" w14:paraId="0000002E">
      <w:pPr>
        <w:tabs>
          <w:tab w:val="left" w:pos="709"/>
        </w:tabs>
        <w:ind w:left="709" w:right="1" w:hanging="709"/>
        <w:rPr>
          <w:b w:val="1"/>
          <w:sz w:val="24"/>
          <w:szCs w:val="24"/>
        </w:rPr>
      </w:pPr>
      <w:r w:rsidDel="00000000" w:rsidR="00000000" w:rsidRPr="00000000">
        <w:rPr>
          <w:rtl w:val="0"/>
        </w:rPr>
      </w:r>
    </w:p>
    <w:p w:rsidR="00000000" w:rsidDel="00000000" w:rsidP="00000000" w:rsidRDefault="00000000" w:rsidRPr="00000000" w14:paraId="0000002F">
      <w:pPr>
        <w:tabs>
          <w:tab w:val="left" w:pos="709"/>
        </w:tabs>
        <w:ind w:left="709" w:right="1" w:hanging="709"/>
        <w:rPr>
          <w:b w:val="1"/>
          <w:sz w:val="24"/>
          <w:szCs w:val="24"/>
        </w:rPr>
      </w:pPr>
      <w:r w:rsidDel="00000000" w:rsidR="00000000" w:rsidRPr="00000000">
        <w:rPr>
          <w:b w:val="1"/>
          <w:sz w:val="24"/>
          <w:szCs w:val="24"/>
          <w:rtl w:val="0"/>
        </w:rPr>
        <w:t xml:space="preserve">Notes</w:t>
      </w:r>
    </w:p>
    <w:p w:rsidR="00000000" w:rsidDel="00000000" w:rsidP="00000000" w:rsidRDefault="00000000" w:rsidRPr="00000000" w14:paraId="00000030">
      <w:pPr>
        <w:tabs>
          <w:tab w:val="left" w:pos="142"/>
        </w:tabs>
        <w:ind w:right="1"/>
        <w:rPr/>
      </w:pPr>
      <w:r w:rsidDel="00000000" w:rsidR="00000000" w:rsidRPr="00000000">
        <w:rPr>
          <w:rtl w:val="0"/>
        </w:rPr>
        <w:t xml:space="preserve">List of citations and references to appear after at the end of the each page as footnotes, containing all the works and sources referred to and/or cited. The referenced works or articles must include their Digital Object Identifier (DOI). A separate list of references is used at the end of the Article . Use Times New Roman, 10 pt.</w:t>
      </w:r>
    </w:p>
    <w:p w:rsidR="00000000" w:rsidDel="00000000" w:rsidP="00000000" w:rsidRDefault="00000000" w:rsidRPr="00000000" w14:paraId="00000031">
      <w:pPr>
        <w:tabs>
          <w:tab w:val="left" w:pos="142"/>
        </w:tabs>
        <w:ind w:left="709" w:right="1" w:firstLine="0"/>
        <w:rPr/>
      </w:pPr>
      <w:r w:rsidDel="00000000" w:rsidR="00000000" w:rsidRPr="00000000">
        <w:rPr>
          <w:rtl w:val="0"/>
        </w:rPr>
      </w:r>
    </w:p>
    <w:p w:rsidR="00000000" w:rsidDel="00000000" w:rsidP="00000000" w:rsidRDefault="00000000" w:rsidRPr="00000000" w14:paraId="00000032">
      <w:pPr>
        <w:tabs>
          <w:tab w:val="left" w:pos="142"/>
        </w:tabs>
        <w:ind w:right="1"/>
        <w:rPr/>
      </w:pPr>
      <w:r w:rsidDel="00000000" w:rsidR="00000000" w:rsidRPr="00000000">
        <w:rPr>
          <w:rtl w:val="0"/>
        </w:rPr>
        <w:t xml:space="preserve">Names of the authors, titles of their works, names of journals, publishing places and companies, names of courts, titles of legal acts, names of official journals, titles of official documents and websites in alphabets other than Latin must be transliterated into Latin (</w:t>
      </w:r>
      <w:hyperlink r:id="rId8">
        <w:r w:rsidDel="00000000" w:rsidR="00000000" w:rsidRPr="00000000">
          <w:rPr>
            <w:color w:val="0000ff"/>
            <w:u w:val="single"/>
            <w:rtl w:val="0"/>
          </w:rPr>
          <w:t xml:space="preserve">http://translit.cc/</w:t>
        </w:r>
      </w:hyperlink>
      <w:r w:rsidDel="00000000" w:rsidR="00000000" w:rsidRPr="00000000">
        <w:rPr>
          <w:rtl w:val="0"/>
        </w:rPr>
        <w:t xml:space="preserve">).</w:t>
      </w:r>
    </w:p>
    <w:p w:rsidR="00000000" w:rsidDel="00000000" w:rsidP="00000000" w:rsidRDefault="00000000" w:rsidRPr="00000000" w14:paraId="00000033">
      <w:pPr>
        <w:tabs>
          <w:tab w:val="left" w:pos="142"/>
        </w:tabs>
        <w:ind w:left="709" w:right="1" w:firstLine="0"/>
        <w:rPr/>
      </w:pPr>
      <w:r w:rsidDel="00000000" w:rsidR="00000000" w:rsidRPr="00000000">
        <w:rPr>
          <w:rtl w:val="0"/>
        </w:rPr>
      </w:r>
    </w:p>
    <w:p w:rsidR="00000000" w:rsidDel="00000000" w:rsidP="00000000" w:rsidRDefault="00000000" w:rsidRPr="00000000" w14:paraId="00000034">
      <w:pPr>
        <w:tabs>
          <w:tab w:val="left" w:pos="142"/>
        </w:tabs>
        <w:ind w:right="1"/>
        <w:rPr/>
      </w:pPr>
      <w:r w:rsidDel="00000000" w:rsidR="00000000" w:rsidRPr="00000000">
        <w:rPr>
          <w:rtl w:val="0"/>
        </w:rPr>
        <w:t xml:space="preserve">References for a non-translated source in a language other than English should present the original title of the work and the English translation of the title in [square brackets]. For example: Piaget, J. (1950) La construction du réel chez l'enfant [The child’s construction of reality]. Neuchâtel: Delachaux, &amp; Niestlé. 45-52.</w:t>
      </w:r>
    </w:p>
    <w:p w:rsidR="00000000" w:rsidDel="00000000" w:rsidP="00000000" w:rsidRDefault="00000000" w:rsidRPr="00000000" w14:paraId="00000035">
      <w:pPr>
        <w:spacing w:after="160" w:line="259" w:lineRule="auto"/>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tabs>
          <w:tab w:val="left" w:pos="142"/>
        </w:tabs>
        <w:ind w:right="1"/>
        <w:rPr>
          <w:b w:val="1"/>
          <w:sz w:val="24"/>
          <w:szCs w:val="24"/>
        </w:rPr>
      </w:pPr>
      <w:r w:rsidDel="00000000" w:rsidR="00000000" w:rsidRPr="00000000">
        <w:rPr>
          <w:rtl w:val="0"/>
        </w:rPr>
      </w:r>
    </w:p>
    <w:p w:rsidR="00000000" w:rsidDel="00000000" w:rsidP="00000000" w:rsidRDefault="00000000" w:rsidRPr="00000000" w14:paraId="00000037">
      <w:pPr>
        <w:tabs>
          <w:tab w:val="left" w:pos="142"/>
        </w:tabs>
        <w:ind w:right="1"/>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38">
      <w:pPr>
        <w:tabs>
          <w:tab w:val="left" w:pos="142"/>
        </w:tabs>
        <w:ind w:right="1"/>
        <w:rPr>
          <w:sz w:val="24"/>
          <w:szCs w:val="24"/>
        </w:rPr>
      </w:pPr>
      <w:r w:rsidDel="00000000" w:rsidR="00000000" w:rsidRPr="00000000">
        <w:rPr>
          <w:rtl w:val="0"/>
        </w:rPr>
      </w:r>
    </w:p>
    <w:p w:rsidR="00000000" w:rsidDel="00000000" w:rsidP="00000000" w:rsidRDefault="00000000" w:rsidRPr="00000000" w14:paraId="00000039">
      <w:pPr>
        <w:tabs>
          <w:tab w:val="left" w:pos="709"/>
        </w:tabs>
        <w:ind w:right="1"/>
        <w:rPr>
          <w:b w:val="1"/>
          <w:sz w:val="24"/>
          <w:szCs w:val="24"/>
        </w:rPr>
      </w:pPr>
      <w:r w:rsidDel="00000000" w:rsidR="00000000" w:rsidRPr="00000000">
        <w:rPr>
          <w:b w:val="1"/>
          <w:sz w:val="24"/>
          <w:szCs w:val="24"/>
          <w:rtl w:val="0"/>
        </w:rPr>
        <w:t xml:space="preserve">Journal article</w:t>
      </w:r>
    </w:p>
    <w:p w:rsidR="00000000" w:rsidDel="00000000" w:rsidP="00000000" w:rsidRDefault="00000000" w:rsidRPr="00000000" w14:paraId="0000003A">
      <w:pPr>
        <w:tabs>
          <w:tab w:val="left" w:pos="709"/>
        </w:tabs>
        <w:ind w:right="1"/>
        <w:rPr>
          <w:sz w:val="24"/>
          <w:szCs w:val="24"/>
        </w:rPr>
      </w:pPr>
      <w:r w:rsidDel="00000000" w:rsidR="00000000" w:rsidRPr="00000000">
        <w:rPr>
          <w:sz w:val="24"/>
          <w:szCs w:val="24"/>
          <w:rtl w:val="0"/>
        </w:rPr>
        <w:t xml:space="preserve">Jastrzębska, M. (2016) Uwarunkowania pomiaru efektywności wydatków jednostek samorządu terytorialnego [The Determinants of Efficiency Measurement Concerning the Spending Made by Local Government Units], </w:t>
      </w:r>
      <w:r w:rsidDel="00000000" w:rsidR="00000000" w:rsidRPr="00000000">
        <w:rPr>
          <w:i w:val="1"/>
          <w:sz w:val="24"/>
          <w:szCs w:val="24"/>
          <w:rtl w:val="0"/>
        </w:rPr>
        <w:t xml:space="preserve">Finanse, Rynki Finansowe i Ubezpieczenia [Finances, Financial Markets and Insurances]</w:t>
      </w:r>
      <w:r w:rsidDel="00000000" w:rsidR="00000000" w:rsidRPr="00000000">
        <w:rPr>
          <w:sz w:val="24"/>
          <w:szCs w:val="24"/>
          <w:rtl w:val="0"/>
        </w:rPr>
        <w:t xml:space="preserve">, 6(84). 43-53. </w:t>
      </w:r>
      <w:hyperlink r:id="rId9">
        <w:r w:rsidDel="00000000" w:rsidR="00000000" w:rsidRPr="00000000">
          <w:rPr>
            <w:color w:val="0000ff"/>
            <w:sz w:val="24"/>
            <w:szCs w:val="24"/>
            <w:u w:val="single"/>
            <w:rtl w:val="0"/>
          </w:rPr>
          <w:t xml:space="preserve">https://doi.org/10.18276/frfu.2016.84/1-04</w:t>
        </w:r>
      </w:hyperlink>
      <w:r w:rsidDel="00000000" w:rsidR="00000000" w:rsidRPr="00000000">
        <w:rPr>
          <w:sz w:val="24"/>
          <w:szCs w:val="24"/>
          <w:rtl w:val="0"/>
        </w:rPr>
        <w:t xml:space="preserve"> </w:t>
      </w:r>
    </w:p>
    <w:p w:rsidR="00000000" w:rsidDel="00000000" w:rsidP="00000000" w:rsidRDefault="00000000" w:rsidRPr="00000000" w14:paraId="0000003B">
      <w:pPr>
        <w:tabs>
          <w:tab w:val="left" w:pos="709"/>
        </w:tabs>
        <w:ind w:right="1"/>
        <w:rPr>
          <w:b w:val="1"/>
          <w:sz w:val="24"/>
          <w:szCs w:val="24"/>
        </w:rPr>
      </w:pPr>
      <w:r w:rsidDel="00000000" w:rsidR="00000000" w:rsidRPr="00000000">
        <w:rPr>
          <w:rtl w:val="0"/>
        </w:rPr>
      </w:r>
    </w:p>
    <w:p w:rsidR="00000000" w:rsidDel="00000000" w:rsidP="00000000" w:rsidRDefault="00000000" w:rsidRPr="00000000" w14:paraId="0000003C">
      <w:pPr>
        <w:tabs>
          <w:tab w:val="left" w:pos="709"/>
        </w:tabs>
        <w:ind w:right="1"/>
        <w:rPr>
          <w:b w:val="1"/>
          <w:sz w:val="24"/>
          <w:szCs w:val="24"/>
        </w:rPr>
      </w:pPr>
      <w:r w:rsidDel="00000000" w:rsidR="00000000" w:rsidRPr="00000000">
        <w:rPr>
          <w:b w:val="1"/>
          <w:sz w:val="24"/>
          <w:szCs w:val="24"/>
          <w:rtl w:val="0"/>
        </w:rPr>
        <w:t xml:space="preserve">Scientific article published online </w:t>
      </w:r>
    </w:p>
    <w:p w:rsidR="00000000" w:rsidDel="00000000" w:rsidP="00000000" w:rsidRDefault="00000000" w:rsidRPr="00000000" w14:paraId="0000003D">
      <w:pPr>
        <w:tabs>
          <w:tab w:val="left" w:pos="709"/>
        </w:tabs>
        <w:ind w:right="1"/>
        <w:rPr>
          <w:sz w:val="24"/>
          <w:szCs w:val="24"/>
        </w:rPr>
      </w:pPr>
      <w:r w:rsidDel="00000000" w:rsidR="00000000" w:rsidRPr="00000000">
        <w:rPr>
          <w:sz w:val="24"/>
          <w:szCs w:val="24"/>
          <w:rtl w:val="0"/>
        </w:rPr>
        <w:t xml:space="preserve">Klčovanská, E. (n.d.)</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Axiologická podstata noetického procesu [Axiological basis of the noetic process], </w:t>
      </w:r>
      <w:hyperlink r:id="rId10">
        <w:r w:rsidDel="00000000" w:rsidR="00000000" w:rsidRPr="00000000">
          <w:rPr>
            <w:color w:val="0000ff"/>
            <w:sz w:val="24"/>
            <w:szCs w:val="24"/>
            <w:u w:val="single"/>
            <w:rtl w:val="0"/>
          </w:rPr>
          <w:t xml:space="preserve">http://pdf.truni.sk/zborniky%20/evsuv-2004/sekcia2/Klcovanska.pdf</w:t>
        </w:r>
      </w:hyperlink>
      <w:r w:rsidDel="00000000" w:rsidR="00000000" w:rsidRPr="00000000">
        <w:rPr>
          <w:sz w:val="24"/>
          <w:szCs w:val="24"/>
          <w:rtl w:val="0"/>
        </w:rPr>
        <w:t xml:space="preserve"> (July 19, 2021.). </w:t>
      </w:r>
    </w:p>
    <w:p w:rsidR="00000000" w:rsidDel="00000000" w:rsidP="00000000" w:rsidRDefault="00000000" w:rsidRPr="00000000" w14:paraId="0000003E">
      <w:pPr>
        <w:tabs>
          <w:tab w:val="left" w:pos="709"/>
        </w:tabs>
        <w:ind w:right="1"/>
        <w:rPr>
          <w:b w:val="1"/>
          <w:sz w:val="24"/>
          <w:szCs w:val="24"/>
        </w:rPr>
      </w:pPr>
      <w:r w:rsidDel="00000000" w:rsidR="00000000" w:rsidRPr="00000000">
        <w:rPr>
          <w:rtl w:val="0"/>
        </w:rPr>
      </w:r>
    </w:p>
    <w:p w:rsidR="00000000" w:rsidDel="00000000" w:rsidP="00000000" w:rsidRDefault="00000000" w:rsidRPr="00000000" w14:paraId="0000003F">
      <w:pPr>
        <w:tabs>
          <w:tab w:val="left" w:pos="709"/>
        </w:tabs>
        <w:ind w:right="1"/>
        <w:rPr>
          <w:b w:val="1"/>
          <w:sz w:val="24"/>
          <w:szCs w:val="24"/>
        </w:rPr>
      </w:pPr>
      <w:r w:rsidDel="00000000" w:rsidR="00000000" w:rsidRPr="00000000">
        <w:rPr>
          <w:b w:val="1"/>
          <w:sz w:val="24"/>
          <w:szCs w:val="24"/>
          <w:rtl w:val="0"/>
        </w:rPr>
        <w:t xml:space="preserve">Book</w:t>
      </w:r>
    </w:p>
    <w:p w:rsidR="00000000" w:rsidDel="00000000" w:rsidP="00000000" w:rsidRDefault="00000000" w:rsidRPr="00000000" w14:paraId="00000040">
      <w:pPr>
        <w:tabs>
          <w:tab w:val="left" w:pos="709"/>
        </w:tabs>
        <w:ind w:right="1"/>
        <w:rPr>
          <w:sz w:val="24"/>
          <w:szCs w:val="24"/>
        </w:rPr>
      </w:pPr>
      <w:r w:rsidDel="00000000" w:rsidR="00000000" w:rsidRPr="00000000">
        <w:rPr>
          <w:sz w:val="24"/>
          <w:szCs w:val="24"/>
          <w:rtl w:val="0"/>
        </w:rPr>
        <w:t xml:space="preserve">Mrkývka, P. (2012) </w:t>
      </w:r>
      <w:r w:rsidDel="00000000" w:rsidR="00000000" w:rsidRPr="00000000">
        <w:rPr>
          <w:i w:val="1"/>
          <w:sz w:val="24"/>
          <w:szCs w:val="24"/>
          <w:rtl w:val="0"/>
        </w:rPr>
        <w:t xml:space="preserve">Determinace a diverzifikace finančního práva [Determination and Diversification of Financial Law]</w:t>
      </w:r>
      <w:r w:rsidDel="00000000" w:rsidR="00000000" w:rsidRPr="00000000">
        <w:rPr>
          <w:sz w:val="24"/>
          <w:szCs w:val="24"/>
          <w:rtl w:val="0"/>
        </w:rPr>
        <w:t xml:space="preserve"> (Brno: Masarykova univerzita), 26.</w:t>
      </w:r>
    </w:p>
    <w:p w:rsidR="00000000" w:rsidDel="00000000" w:rsidP="00000000" w:rsidRDefault="00000000" w:rsidRPr="00000000" w14:paraId="00000041">
      <w:pPr>
        <w:tabs>
          <w:tab w:val="left" w:pos="709"/>
        </w:tabs>
        <w:ind w:right="1"/>
        <w:rPr>
          <w:b w:val="1"/>
          <w:sz w:val="24"/>
          <w:szCs w:val="24"/>
        </w:rPr>
      </w:pPr>
      <w:r w:rsidDel="00000000" w:rsidR="00000000" w:rsidRPr="00000000">
        <w:rPr>
          <w:rtl w:val="0"/>
        </w:rPr>
      </w:r>
    </w:p>
    <w:p w:rsidR="00000000" w:rsidDel="00000000" w:rsidP="00000000" w:rsidRDefault="00000000" w:rsidRPr="00000000" w14:paraId="00000042">
      <w:pPr>
        <w:tabs>
          <w:tab w:val="left" w:pos="709"/>
        </w:tabs>
        <w:ind w:right="1"/>
        <w:rPr>
          <w:b w:val="1"/>
          <w:sz w:val="24"/>
          <w:szCs w:val="24"/>
        </w:rPr>
      </w:pPr>
      <w:r w:rsidDel="00000000" w:rsidR="00000000" w:rsidRPr="00000000">
        <w:rPr>
          <w:b w:val="1"/>
          <w:sz w:val="24"/>
          <w:szCs w:val="24"/>
          <w:rtl w:val="0"/>
        </w:rPr>
        <w:t xml:space="preserve">Edited Book</w:t>
      </w:r>
    </w:p>
    <w:p w:rsidR="00000000" w:rsidDel="00000000" w:rsidP="00000000" w:rsidRDefault="00000000" w:rsidRPr="00000000" w14:paraId="00000043">
      <w:pPr>
        <w:tabs>
          <w:tab w:val="left" w:pos="709"/>
        </w:tabs>
        <w:ind w:right="1"/>
        <w:rPr>
          <w:sz w:val="24"/>
          <w:szCs w:val="24"/>
        </w:rPr>
      </w:pPr>
      <w:r w:rsidDel="00000000" w:rsidR="00000000" w:rsidRPr="00000000">
        <w:rPr>
          <w:sz w:val="24"/>
          <w:szCs w:val="24"/>
          <w:rtl w:val="0"/>
        </w:rPr>
        <w:t xml:space="preserve">Schmid, H. J. (eds.) (2017) </w:t>
      </w:r>
      <w:r w:rsidDel="00000000" w:rsidR="00000000" w:rsidRPr="00000000">
        <w:rPr>
          <w:i w:val="1"/>
          <w:sz w:val="24"/>
          <w:szCs w:val="24"/>
          <w:rtl w:val="0"/>
        </w:rPr>
        <w:t xml:space="preserve">Entrenchment and the psychology of language learning: How we reorganize and adapt linguistic knowledge</w:t>
      </w:r>
      <w:r w:rsidDel="00000000" w:rsidR="00000000" w:rsidRPr="00000000">
        <w:rPr>
          <w:sz w:val="24"/>
          <w:szCs w:val="24"/>
          <w:rtl w:val="0"/>
        </w:rPr>
        <w:t xml:space="preserve"> (American Psychological Association, De Gruyter Mouton), </w:t>
      </w:r>
      <w:hyperlink r:id="rId11">
        <w:r w:rsidDel="00000000" w:rsidR="00000000" w:rsidRPr="00000000">
          <w:rPr>
            <w:color w:val="0000ff"/>
            <w:sz w:val="24"/>
            <w:szCs w:val="24"/>
            <w:u w:val="single"/>
            <w:rtl w:val="0"/>
          </w:rPr>
          <w:t xml:space="preserve">https://doi.org/10.1037/15969-000</w:t>
        </w:r>
      </w:hyperlink>
      <w:r w:rsidDel="00000000" w:rsidR="00000000" w:rsidRPr="00000000">
        <w:rPr>
          <w:sz w:val="24"/>
          <w:szCs w:val="24"/>
          <w:rtl w:val="0"/>
        </w:rPr>
        <w:t xml:space="preserve"> </w:t>
      </w:r>
    </w:p>
    <w:p w:rsidR="00000000" w:rsidDel="00000000" w:rsidP="00000000" w:rsidRDefault="00000000" w:rsidRPr="00000000" w14:paraId="00000044">
      <w:pPr>
        <w:tabs>
          <w:tab w:val="left" w:pos="709"/>
        </w:tabs>
        <w:ind w:right="1"/>
        <w:rPr>
          <w:sz w:val="24"/>
          <w:szCs w:val="24"/>
        </w:rPr>
      </w:pPr>
      <w:r w:rsidDel="00000000" w:rsidR="00000000" w:rsidRPr="00000000">
        <w:rPr>
          <w:rtl w:val="0"/>
        </w:rPr>
      </w:r>
    </w:p>
    <w:p w:rsidR="00000000" w:rsidDel="00000000" w:rsidP="00000000" w:rsidRDefault="00000000" w:rsidRPr="00000000" w14:paraId="00000045">
      <w:pPr>
        <w:tabs>
          <w:tab w:val="left" w:pos="709"/>
        </w:tabs>
        <w:ind w:right="1"/>
        <w:rPr>
          <w:b w:val="1"/>
          <w:sz w:val="24"/>
          <w:szCs w:val="24"/>
        </w:rPr>
      </w:pPr>
      <w:r w:rsidDel="00000000" w:rsidR="00000000" w:rsidRPr="00000000">
        <w:rPr>
          <w:b w:val="1"/>
          <w:sz w:val="24"/>
          <w:szCs w:val="24"/>
          <w:rtl w:val="0"/>
        </w:rPr>
        <w:t xml:space="preserve">Book chapters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Kafel, T. &amp; Ziębicki B. (2009) Wymiary i kryteria oceny efektywności organizacji pozarządowych [Dimensions and Criteria of NGO Efficiency Assessment], In: Nalepka, A.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Organizacje komercyjne i niekomercyjne wobec wzmożonej konkurencji oraz wzrastających wymagań konsumentów [Commercial and Non-Commercial Organisations Faced by Increased Competition and Growing Consumer Requirements]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(Nowy Sącz: Wyższa Szkoła Biznesu – National-Louis University), 86-87.</w:t>
      </w:r>
    </w:p>
    <w:p w:rsidR="00000000" w:rsidDel="00000000" w:rsidP="00000000" w:rsidRDefault="00000000" w:rsidRPr="00000000" w14:paraId="00000047">
      <w:pPr>
        <w:tabs>
          <w:tab w:val="left" w:pos="709"/>
        </w:tabs>
        <w:ind w:right="1"/>
        <w:rPr>
          <w:b w:val="1"/>
          <w:sz w:val="24"/>
          <w:szCs w:val="24"/>
        </w:rPr>
      </w:pPr>
      <w:r w:rsidDel="00000000" w:rsidR="00000000" w:rsidRPr="00000000">
        <w:rPr>
          <w:rtl w:val="0"/>
        </w:rPr>
      </w:r>
    </w:p>
    <w:p w:rsidR="00000000" w:rsidDel="00000000" w:rsidP="00000000" w:rsidRDefault="00000000" w:rsidRPr="00000000" w14:paraId="00000048">
      <w:pPr>
        <w:tabs>
          <w:tab w:val="left" w:pos="709"/>
        </w:tabs>
        <w:ind w:right="1"/>
        <w:rPr>
          <w:b w:val="1"/>
          <w:sz w:val="24"/>
          <w:szCs w:val="24"/>
        </w:rPr>
      </w:pPr>
      <w:r w:rsidDel="00000000" w:rsidR="00000000" w:rsidRPr="00000000">
        <w:rPr>
          <w:b w:val="1"/>
          <w:sz w:val="24"/>
          <w:szCs w:val="24"/>
          <w:rtl w:val="0"/>
        </w:rPr>
        <w:t xml:space="preserve">Paper presentation</w:t>
      </w:r>
    </w:p>
    <w:p w:rsidR="00000000" w:rsidDel="00000000" w:rsidP="00000000" w:rsidRDefault="00000000" w:rsidRPr="00000000" w14:paraId="00000049">
      <w:pPr>
        <w:tabs>
          <w:tab w:val="left" w:pos="709"/>
        </w:tabs>
        <w:ind w:right="1"/>
        <w:rPr>
          <w:sz w:val="24"/>
          <w:szCs w:val="24"/>
        </w:rPr>
      </w:pPr>
      <w:r w:rsidDel="00000000" w:rsidR="00000000" w:rsidRPr="00000000">
        <w:rPr>
          <w:sz w:val="24"/>
          <w:szCs w:val="24"/>
          <w:rtl w:val="0"/>
        </w:rPr>
        <w:t xml:space="preserve">Maddox, S., Hurling, J., Stewart, E. &amp; Edwards, A. (2016, March 30–April 2). If mama ain’t happy, nobody’s happy: The effect of parental depression on mood dysregulation in children [Paper presentation]. Southeastern Psychological Association 62nd Annual Meeting, New Orleans, LA, United States.</w:t>
      </w:r>
    </w:p>
    <w:p w:rsidR="00000000" w:rsidDel="00000000" w:rsidP="00000000" w:rsidRDefault="00000000" w:rsidRPr="00000000" w14:paraId="0000004A">
      <w:pPr>
        <w:tabs>
          <w:tab w:val="left" w:pos="709"/>
        </w:tabs>
        <w:ind w:right="1"/>
        <w:rPr>
          <w:sz w:val="24"/>
          <w:szCs w:val="24"/>
        </w:rPr>
      </w:pPr>
      <w:r w:rsidDel="00000000" w:rsidR="00000000" w:rsidRPr="00000000">
        <w:rPr>
          <w:rtl w:val="0"/>
        </w:rPr>
      </w:r>
    </w:p>
    <w:p w:rsidR="00000000" w:rsidDel="00000000" w:rsidP="00000000" w:rsidRDefault="00000000" w:rsidRPr="00000000" w14:paraId="0000004B">
      <w:pPr>
        <w:tabs>
          <w:tab w:val="left" w:pos="709"/>
        </w:tabs>
        <w:ind w:right="1"/>
        <w:rPr>
          <w:b w:val="1"/>
          <w:sz w:val="24"/>
          <w:szCs w:val="24"/>
        </w:rPr>
      </w:pPr>
      <w:r w:rsidDel="00000000" w:rsidR="00000000" w:rsidRPr="00000000">
        <w:rPr>
          <w:b w:val="1"/>
          <w:sz w:val="24"/>
          <w:szCs w:val="24"/>
          <w:rtl w:val="0"/>
        </w:rPr>
        <w:t xml:space="preserve">Dissertation</w:t>
      </w:r>
    </w:p>
    <w:p w:rsidR="00000000" w:rsidDel="00000000" w:rsidP="00000000" w:rsidRDefault="00000000" w:rsidRPr="00000000" w14:paraId="0000004C">
      <w:pPr>
        <w:tabs>
          <w:tab w:val="left" w:pos="709"/>
        </w:tabs>
        <w:ind w:right="1"/>
        <w:rPr>
          <w:sz w:val="24"/>
          <w:szCs w:val="24"/>
        </w:rPr>
      </w:pPr>
      <w:r w:rsidDel="00000000" w:rsidR="00000000" w:rsidRPr="00000000">
        <w:rPr>
          <w:sz w:val="24"/>
          <w:szCs w:val="24"/>
          <w:rtl w:val="0"/>
        </w:rPr>
        <w:t xml:space="preserve">Hollander, M. M. (2017). Resistance to authority: Methodological innovations and new lessons from the Milgram experiment (Publication No. 10289373) [Doctoral dissertation, University of Wisconsin–Madison]. ProQuest Dissertations and Theses Global.</w:t>
      </w:r>
    </w:p>
    <w:p w:rsidR="00000000" w:rsidDel="00000000" w:rsidP="00000000" w:rsidRDefault="00000000" w:rsidRPr="00000000" w14:paraId="0000004D">
      <w:pPr>
        <w:tabs>
          <w:tab w:val="left" w:pos="709"/>
        </w:tabs>
        <w:ind w:right="1"/>
        <w:rPr>
          <w:sz w:val="24"/>
          <w:szCs w:val="24"/>
        </w:rPr>
      </w:pPr>
      <w:r w:rsidDel="00000000" w:rsidR="00000000" w:rsidRPr="00000000">
        <w:rPr>
          <w:rtl w:val="0"/>
        </w:rPr>
      </w:r>
    </w:p>
    <w:p w:rsidR="00000000" w:rsidDel="00000000" w:rsidP="00000000" w:rsidRDefault="00000000" w:rsidRPr="00000000" w14:paraId="0000004E">
      <w:pPr>
        <w:tabs>
          <w:tab w:val="left" w:pos="709"/>
        </w:tabs>
        <w:ind w:right="1"/>
        <w:rPr>
          <w:sz w:val="24"/>
          <w:szCs w:val="24"/>
        </w:rPr>
      </w:pPr>
      <w:r w:rsidDel="00000000" w:rsidR="00000000" w:rsidRPr="00000000">
        <w:rPr>
          <w:sz w:val="24"/>
          <w:szCs w:val="24"/>
          <w:rtl w:val="0"/>
        </w:rPr>
        <w:t xml:space="preserve">Gyurita, E.R. (2020). A helyi önkormányzatok törvényességi felügyelete [The supervision of the legality of local governments] [Doctoral dissertation, Széchenyi István University] </w:t>
      </w:r>
      <w:hyperlink r:id="rId12">
        <w:r w:rsidDel="00000000" w:rsidR="00000000" w:rsidRPr="00000000">
          <w:rPr>
            <w:color w:val="0000ff"/>
            <w:sz w:val="24"/>
            <w:szCs w:val="24"/>
            <w:u w:val="single"/>
            <w:rtl w:val="0"/>
          </w:rPr>
          <w:t xml:space="preserve">https://doktiskjog.sze.hu/downloadmanager/download/nohtml/1/id/35884/m/3620</w:t>
        </w:r>
      </w:hyperlink>
      <w:r w:rsidDel="00000000" w:rsidR="00000000" w:rsidRPr="00000000">
        <w:rPr>
          <w:sz w:val="24"/>
          <w:szCs w:val="24"/>
          <w:rtl w:val="0"/>
        </w:rPr>
        <w:t xml:space="preserve"> (July 19, 2021.)</w:t>
      </w:r>
    </w:p>
    <w:p w:rsidR="00000000" w:rsidDel="00000000" w:rsidP="00000000" w:rsidRDefault="00000000" w:rsidRPr="00000000" w14:paraId="0000004F">
      <w:pPr>
        <w:tabs>
          <w:tab w:val="left" w:pos="709"/>
        </w:tabs>
        <w:ind w:right="1"/>
        <w:rPr>
          <w:b w:val="1"/>
          <w:sz w:val="24"/>
          <w:szCs w:val="24"/>
        </w:rPr>
      </w:pPr>
      <w:r w:rsidDel="00000000" w:rsidR="00000000" w:rsidRPr="00000000">
        <w:rPr>
          <w:rtl w:val="0"/>
        </w:rPr>
      </w:r>
    </w:p>
    <w:p w:rsidR="00000000" w:rsidDel="00000000" w:rsidP="00000000" w:rsidRDefault="00000000" w:rsidRPr="00000000" w14:paraId="00000050">
      <w:pPr>
        <w:tabs>
          <w:tab w:val="left" w:pos="709"/>
        </w:tabs>
        <w:ind w:right="1"/>
        <w:rPr>
          <w:b w:val="1"/>
          <w:sz w:val="24"/>
          <w:szCs w:val="24"/>
        </w:rPr>
      </w:pPr>
      <w:r w:rsidDel="00000000" w:rsidR="00000000" w:rsidRPr="00000000">
        <w:rPr>
          <w:b w:val="1"/>
          <w:sz w:val="24"/>
          <w:szCs w:val="24"/>
          <w:rtl w:val="0"/>
        </w:rPr>
        <w:t xml:space="preserve">Legal Acts</w:t>
      </w:r>
    </w:p>
    <w:p w:rsidR="00000000" w:rsidDel="00000000" w:rsidP="00000000" w:rsidRDefault="00000000" w:rsidRPr="00000000" w14:paraId="00000051">
      <w:pPr>
        <w:tabs>
          <w:tab w:val="left" w:pos="709"/>
        </w:tabs>
        <w:ind w:right="1"/>
        <w:rPr>
          <w:sz w:val="24"/>
          <w:szCs w:val="24"/>
        </w:rPr>
      </w:pPr>
      <w:r w:rsidDel="00000000" w:rsidR="00000000" w:rsidRPr="00000000">
        <w:rPr>
          <w:sz w:val="24"/>
          <w:szCs w:val="24"/>
          <w:rtl w:val="0"/>
        </w:rPr>
        <w:t xml:space="preserve">2013. évi CXXXIX. törvény a Magyar Nemzeti Bankról [Act CXXXIX of 2013 on the National Bank of Hungary], Magyar Közlöny [Hungarian Official Gazette], </w:t>
      </w:r>
      <w:hyperlink r:id="rId13">
        <w:r w:rsidDel="00000000" w:rsidR="00000000" w:rsidRPr="00000000">
          <w:rPr>
            <w:color w:val="0000ff"/>
            <w:sz w:val="24"/>
            <w:szCs w:val="24"/>
            <w:u w:val="single"/>
            <w:rtl w:val="0"/>
          </w:rPr>
          <w:t xml:space="preserve">https://net.jogtar.hu/jogszabaly?docid=A1300139.tv&amp;dbnum=62&amp;getdoc=1</w:t>
        </w:r>
      </w:hyperlink>
      <w:r w:rsidDel="00000000" w:rsidR="00000000" w:rsidRPr="00000000">
        <w:rPr>
          <w:sz w:val="24"/>
          <w:szCs w:val="24"/>
          <w:rtl w:val="0"/>
        </w:rPr>
        <w:t xml:space="preserve"> (July 19, 2021.)</w:t>
      </w:r>
    </w:p>
    <w:p w:rsidR="00000000" w:rsidDel="00000000" w:rsidP="00000000" w:rsidRDefault="00000000" w:rsidRPr="00000000" w14:paraId="00000052">
      <w:pPr>
        <w:tabs>
          <w:tab w:val="left" w:pos="709"/>
        </w:tabs>
        <w:ind w:right="1"/>
        <w:rPr>
          <w:sz w:val="24"/>
          <w:szCs w:val="24"/>
        </w:rPr>
      </w:pPr>
      <w:r w:rsidDel="00000000" w:rsidR="00000000" w:rsidRPr="00000000">
        <w:rPr>
          <w:rtl w:val="0"/>
        </w:rPr>
      </w:r>
    </w:p>
    <w:p w:rsidR="00000000" w:rsidDel="00000000" w:rsidP="00000000" w:rsidRDefault="00000000" w:rsidRPr="00000000" w14:paraId="00000053">
      <w:pPr>
        <w:tabs>
          <w:tab w:val="left" w:pos="709"/>
        </w:tabs>
        <w:ind w:right="1"/>
        <w:rPr>
          <w:sz w:val="24"/>
          <w:szCs w:val="24"/>
        </w:rPr>
      </w:pPr>
      <w:r w:rsidDel="00000000" w:rsidR="00000000" w:rsidRPr="00000000">
        <w:rPr>
          <w:sz w:val="24"/>
          <w:szCs w:val="24"/>
          <w:rtl w:val="0"/>
        </w:rPr>
        <w:t xml:space="preserve">Zákon ČNR č. 6/1993 Sb. o České národní bance [Act 6/1993on the National Bank of the Czech Republic], Sbírka zákonů [Czech Official Gazette], </w:t>
      </w:r>
      <w:hyperlink r:id="rId14">
        <w:r w:rsidDel="00000000" w:rsidR="00000000" w:rsidRPr="00000000">
          <w:rPr>
            <w:color w:val="0000ff"/>
            <w:sz w:val="24"/>
            <w:szCs w:val="24"/>
            <w:u w:val="single"/>
            <w:rtl w:val="0"/>
          </w:rPr>
          <w:t xml:space="preserve">https://www.zakonyprolidi.cz/cs/1993-6/zneni-20230101</w:t>
        </w:r>
      </w:hyperlink>
      <w:r w:rsidDel="00000000" w:rsidR="00000000" w:rsidRPr="00000000">
        <w:rPr>
          <w:sz w:val="24"/>
          <w:szCs w:val="24"/>
          <w:rtl w:val="0"/>
        </w:rPr>
        <w:t xml:space="preserve">  (July 19, 2021.)</w:t>
      </w:r>
    </w:p>
    <w:p w:rsidR="00000000" w:rsidDel="00000000" w:rsidP="00000000" w:rsidRDefault="00000000" w:rsidRPr="00000000" w14:paraId="00000054">
      <w:pPr>
        <w:tabs>
          <w:tab w:val="left" w:pos="709"/>
        </w:tabs>
        <w:ind w:right="1"/>
        <w:rPr>
          <w:sz w:val="24"/>
          <w:szCs w:val="24"/>
        </w:rPr>
      </w:pPr>
      <w:r w:rsidDel="00000000" w:rsidR="00000000" w:rsidRPr="00000000">
        <w:rPr>
          <w:rtl w:val="0"/>
        </w:rPr>
      </w:r>
    </w:p>
    <w:p w:rsidR="00000000" w:rsidDel="00000000" w:rsidP="00000000" w:rsidRDefault="00000000" w:rsidRPr="00000000" w14:paraId="00000055">
      <w:pPr>
        <w:tabs>
          <w:tab w:val="left" w:pos="709"/>
        </w:tabs>
        <w:ind w:right="1"/>
        <w:rPr>
          <w:b w:val="1"/>
          <w:sz w:val="24"/>
          <w:szCs w:val="24"/>
        </w:rPr>
      </w:pPr>
      <w:r w:rsidDel="00000000" w:rsidR="00000000" w:rsidRPr="00000000">
        <w:rPr>
          <w:b w:val="1"/>
          <w:sz w:val="24"/>
          <w:szCs w:val="24"/>
          <w:rtl w:val="0"/>
        </w:rPr>
        <w:t xml:space="preserve">Court Rulings </w:t>
      </w:r>
    </w:p>
    <w:p w:rsidR="00000000" w:rsidDel="00000000" w:rsidP="00000000" w:rsidRDefault="00000000" w:rsidRPr="00000000" w14:paraId="00000056">
      <w:pPr>
        <w:tabs>
          <w:tab w:val="left" w:pos="709"/>
        </w:tabs>
        <w:ind w:right="1"/>
        <w:rPr/>
      </w:pPr>
      <w:r w:rsidDel="00000000" w:rsidR="00000000" w:rsidRPr="00000000">
        <w:rPr>
          <w:sz w:val="24"/>
          <w:szCs w:val="24"/>
          <w:rtl w:val="0"/>
        </w:rPr>
        <w:t xml:space="preserve">Wojewódzki Sąd Administracyjny w Poznaniu [Provincional Administrative Court of Poznań] ruling 8th July 2008, IV SA/Po 224/06 (not published).</w:t>
      </w:r>
      <w:r w:rsidDel="00000000" w:rsidR="00000000" w:rsidRPr="00000000">
        <w:rPr>
          <w:rtl w:val="0"/>
        </w:rPr>
        <w:t xml:space="preserve"> </w:t>
      </w:r>
    </w:p>
    <w:p w:rsidR="00000000" w:rsidDel="00000000" w:rsidP="00000000" w:rsidRDefault="00000000" w:rsidRPr="00000000" w14:paraId="00000057">
      <w:pPr>
        <w:tabs>
          <w:tab w:val="left" w:pos="709"/>
        </w:tabs>
        <w:ind w:right="1"/>
        <w:rPr>
          <w:sz w:val="24"/>
          <w:szCs w:val="24"/>
        </w:rPr>
      </w:pPr>
      <w:r w:rsidDel="00000000" w:rsidR="00000000" w:rsidRPr="00000000">
        <w:rPr>
          <w:rtl w:val="0"/>
        </w:rPr>
      </w:r>
    </w:p>
    <w:p w:rsidR="00000000" w:rsidDel="00000000" w:rsidP="00000000" w:rsidRDefault="00000000" w:rsidRPr="00000000" w14:paraId="00000058">
      <w:pPr>
        <w:tabs>
          <w:tab w:val="left" w:pos="709"/>
        </w:tabs>
        <w:ind w:right="1"/>
        <w:rPr/>
      </w:pPr>
      <w:r w:rsidDel="00000000" w:rsidR="00000000" w:rsidRPr="00000000">
        <w:rPr>
          <w:sz w:val="24"/>
          <w:szCs w:val="24"/>
          <w:rtl w:val="0"/>
        </w:rPr>
        <w:t xml:space="preserve">Kúria [Curia of Hungary] uniformity decision no. 1/2019 KMPJE (2019), </w:t>
      </w:r>
      <w:hyperlink r:id="rId15">
        <w:r w:rsidDel="00000000" w:rsidR="00000000" w:rsidRPr="00000000">
          <w:rPr>
            <w:color w:val="0000ff"/>
            <w:sz w:val="24"/>
            <w:szCs w:val="24"/>
            <w:u w:val="single"/>
            <w:rtl w:val="0"/>
          </w:rPr>
          <w:t xml:space="preserve">https://www.kuria-birosag.hu/hu/joghat/12019-szamu-kmpje-hatarozat</w:t>
        </w:r>
      </w:hyperlink>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(July 19, 2021.)</w:t>
      </w:r>
      <w:r w:rsidDel="00000000" w:rsidR="00000000" w:rsidRPr="00000000">
        <w:rPr>
          <w:rtl w:val="0"/>
        </w:rPr>
      </w:r>
    </w:p>
    <w:p w:rsidR="00000000" w:rsidDel="00000000" w:rsidP="00000000" w:rsidRDefault="00000000" w:rsidRPr="00000000" w14:paraId="00000059">
      <w:pPr>
        <w:tabs>
          <w:tab w:val="left" w:pos="709"/>
        </w:tabs>
        <w:ind w:right="1"/>
        <w:rPr>
          <w:sz w:val="24"/>
          <w:szCs w:val="24"/>
        </w:rPr>
      </w:pPr>
      <w:r w:rsidDel="00000000" w:rsidR="00000000" w:rsidRPr="00000000">
        <w:rPr>
          <w:rtl w:val="0"/>
        </w:rPr>
      </w:r>
    </w:p>
    <w:p w:rsidR="00000000" w:rsidDel="00000000" w:rsidP="00000000" w:rsidRDefault="00000000" w:rsidRPr="00000000" w14:paraId="0000005A">
      <w:pPr>
        <w:tabs>
          <w:tab w:val="left" w:pos="709"/>
        </w:tabs>
        <w:ind w:right="1"/>
        <w:rPr>
          <w:b w:val="1"/>
          <w:sz w:val="24"/>
          <w:szCs w:val="24"/>
        </w:rPr>
      </w:pPr>
      <w:r w:rsidDel="00000000" w:rsidR="00000000" w:rsidRPr="00000000">
        <w:rPr>
          <w:b w:val="1"/>
          <w:sz w:val="24"/>
          <w:szCs w:val="24"/>
          <w:rtl w:val="0"/>
        </w:rPr>
        <w:t xml:space="preserve">Official Documents </w:t>
      </w:r>
    </w:p>
    <w:p w:rsidR="00000000" w:rsidDel="00000000" w:rsidP="00000000" w:rsidRDefault="00000000" w:rsidRPr="00000000" w14:paraId="0000005B">
      <w:pPr>
        <w:tabs>
          <w:tab w:val="left" w:pos="709"/>
        </w:tabs>
        <w:ind w:right="1"/>
        <w:rPr>
          <w:sz w:val="24"/>
          <w:szCs w:val="24"/>
        </w:rPr>
      </w:pPr>
      <w:r w:rsidDel="00000000" w:rsidR="00000000" w:rsidRPr="00000000">
        <w:rPr>
          <w:sz w:val="24"/>
          <w:szCs w:val="24"/>
          <w:rtl w:val="0"/>
        </w:rPr>
        <w:t xml:space="preserve">State Aid SA.52194 (2018/FC) – Slovak Retail Turnover Tax – Invitation to submit comments pursuant to Article 108 (2) of the Treaty on the Functioning of the European Union (2019), </w:t>
      </w:r>
      <w:hyperlink r:id="rId16">
        <w:r w:rsidDel="00000000" w:rsidR="00000000" w:rsidRPr="00000000">
          <w:rPr>
            <w:color w:val="0000ff"/>
            <w:sz w:val="24"/>
            <w:szCs w:val="24"/>
            <w:u w:val="single"/>
            <w:rtl w:val="0"/>
          </w:rPr>
          <w:t xml:space="preserve">https://eur-lex.europa.eu/legal-content/EN/TXT/PDF/?uri=CELEX:52019XC0607(06)&amp;rid=1</w:t>
        </w:r>
      </w:hyperlink>
      <w:r w:rsidDel="00000000" w:rsidR="00000000" w:rsidRPr="00000000">
        <w:rPr>
          <w:sz w:val="24"/>
          <w:szCs w:val="24"/>
          <w:rtl w:val="0"/>
        </w:rPr>
        <w:t xml:space="preserve"> (July 19, 2021.)</w:t>
      </w:r>
    </w:p>
    <w:p w:rsidR="00000000" w:rsidDel="00000000" w:rsidP="00000000" w:rsidRDefault="00000000" w:rsidRPr="00000000" w14:paraId="0000005C">
      <w:pPr>
        <w:tabs>
          <w:tab w:val="left" w:pos="709"/>
        </w:tabs>
        <w:ind w:right="1"/>
        <w:rPr>
          <w:sz w:val="24"/>
          <w:szCs w:val="24"/>
        </w:rPr>
      </w:pPr>
      <w:r w:rsidDel="00000000" w:rsidR="00000000" w:rsidRPr="00000000">
        <w:rPr>
          <w:rtl w:val="0"/>
        </w:rPr>
      </w:r>
    </w:p>
    <w:p w:rsidR="00000000" w:rsidDel="00000000" w:rsidP="00000000" w:rsidRDefault="00000000" w:rsidRPr="00000000" w14:paraId="0000005D">
      <w:pPr>
        <w:tabs>
          <w:tab w:val="left" w:pos="709"/>
        </w:tabs>
        <w:ind w:right="1"/>
        <w:rPr>
          <w:sz w:val="24"/>
          <w:szCs w:val="24"/>
        </w:rPr>
      </w:pPr>
      <w:r w:rsidDel="00000000" w:rsidR="00000000" w:rsidRPr="00000000">
        <w:rPr>
          <w:sz w:val="24"/>
          <w:szCs w:val="24"/>
          <w:rtl w:val="0"/>
        </w:rPr>
        <w:t xml:space="preserve">Ontario Ministry of Health (1994) Selected findings from the mental health supplement of the Ontario Health Survey, Queen's Printer for Ontario, 7.</w:t>
      </w:r>
    </w:p>
    <w:p w:rsidR="00000000" w:rsidDel="00000000" w:rsidP="00000000" w:rsidRDefault="00000000" w:rsidRPr="00000000" w14:paraId="0000005E">
      <w:pPr>
        <w:tabs>
          <w:tab w:val="left" w:pos="709"/>
        </w:tabs>
        <w:ind w:right="1"/>
        <w:rPr>
          <w:sz w:val="24"/>
          <w:szCs w:val="24"/>
        </w:rPr>
      </w:pPr>
      <w:r w:rsidDel="00000000" w:rsidR="00000000" w:rsidRPr="00000000">
        <w:rPr>
          <w:rtl w:val="0"/>
        </w:rPr>
      </w:r>
    </w:p>
    <w:p w:rsidR="00000000" w:rsidDel="00000000" w:rsidP="00000000" w:rsidRDefault="00000000" w:rsidRPr="00000000" w14:paraId="0000005F">
      <w:pPr>
        <w:tabs>
          <w:tab w:val="left" w:pos="709"/>
        </w:tabs>
        <w:ind w:right="1"/>
        <w:rPr>
          <w:sz w:val="24"/>
          <w:szCs w:val="24"/>
        </w:rPr>
      </w:pPr>
      <w:r w:rsidDel="00000000" w:rsidR="00000000" w:rsidRPr="00000000">
        <w:rPr>
          <w:sz w:val="24"/>
          <w:szCs w:val="24"/>
          <w:rtl w:val="0"/>
        </w:rPr>
        <w:t xml:space="preserve">Úrad vlády Slovenskej republiky [Government Office of the Slovak Republic]. (2001).  Metodický pokyn na prípravu a predkladanie materiálov na rokovanie Vlády SR [Methodological instructions for preparation and submission of materials for the meeting of the Government of the Slovak Republic], </w:t>
      </w:r>
      <w:hyperlink r:id="rId17">
        <w:r w:rsidDel="00000000" w:rsidR="00000000" w:rsidRPr="00000000">
          <w:rPr>
            <w:color w:val="0000ff"/>
            <w:sz w:val="24"/>
            <w:szCs w:val="24"/>
            <w:u w:val="single"/>
            <w:rtl w:val="0"/>
          </w:rPr>
          <w:t xml:space="preserve">https://www.vlada.gov.sk/data/files/7306_metodicky_pokyn_uplne-znenie_2018.pdf</w:t>
        </w:r>
      </w:hyperlink>
      <w:r w:rsidDel="00000000" w:rsidR="00000000" w:rsidRPr="00000000">
        <w:rPr>
          <w:sz w:val="24"/>
          <w:szCs w:val="24"/>
          <w:rtl w:val="0"/>
        </w:rPr>
        <w:t xml:space="preserve"> (July 19, 2021.)</w:t>
      </w:r>
    </w:p>
    <w:p w:rsidR="00000000" w:rsidDel="00000000" w:rsidP="00000000" w:rsidRDefault="00000000" w:rsidRPr="00000000" w14:paraId="00000060">
      <w:pPr>
        <w:tabs>
          <w:tab w:val="left" w:pos="709"/>
        </w:tabs>
        <w:ind w:right="1"/>
        <w:rPr>
          <w:sz w:val="24"/>
          <w:szCs w:val="24"/>
        </w:rPr>
      </w:pPr>
      <w:r w:rsidDel="00000000" w:rsidR="00000000" w:rsidRPr="00000000">
        <w:rPr>
          <w:rtl w:val="0"/>
        </w:rPr>
      </w:r>
    </w:p>
    <w:p w:rsidR="00000000" w:rsidDel="00000000" w:rsidP="00000000" w:rsidRDefault="00000000" w:rsidRPr="00000000" w14:paraId="00000061">
      <w:pPr>
        <w:tabs>
          <w:tab w:val="left" w:pos="709"/>
        </w:tabs>
        <w:ind w:right="1"/>
        <w:rPr>
          <w:sz w:val="24"/>
          <w:szCs w:val="24"/>
        </w:rPr>
      </w:pPr>
      <w:r w:rsidDel="00000000" w:rsidR="00000000" w:rsidRPr="00000000">
        <w:rPr>
          <w:b w:val="1"/>
          <w:sz w:val="24"/>
          <w:szCs w:val="24"/>
          <w:rtl w:val="0"/>
        </w:rPr>
        <w:t xml:space="preserve">Internet Documents: other than official documents or scientific articles </w:t>
      </w:r>
      <w:r w:rsidDel="00000000" w:rsidR="00000000" w:rsidRPr="00000000">
        <w:rPr>
          <w:rtl w:val="0"/>
        </w:rPr>
      </w:r>
    </w:p>
    <w:p w:rsidR="00000000" w:rsidDel="00000000" w:rsidP="00000000" w:rsidRDefault="00000000" w:rsidRPr="00000000" w14:paraId="00000062">
      <w:pPr>
        <w:tabs>
          <w:tab w:val="left" w:pos="709"/>
        </w:tabs>
        <w:ind w:right="1"/>
        <w:rPr>
          <w:sz w:val="24"/>
          <w:szCs w:val="24"/>
        </w:rPr>
      </w:pPr>
      <w:r w:rsidDel="00000000" w:rsidR="00000000" w:rsidRPr="00000000">
        <w:rPr>
          <w:sz w:val="24"/>
          <w:szCs w:val="24"/>
          <w:rtl w:val="0"/>
        </w:rPr>
        <w:t xml:space="preserve">Dooley, B. (2021). Inflation? Not in Japan. And That Could Hold a Warning for the U.S., The New York Times, </w:t>
      </w:r>
      <w:hyperlink r:id="rId18">
        <w:r w:rsidDel="00000000" w:rsidR="00000000" w:rsidRPr="00000000">
          <w:rPr>
            <w:color w:val="0000ff"/>
            <w:sz w:val="24"/>
            <w:szCs w:val="24"/>
            <w:u w:val="single"/>
            <w:rtl w:val="0"/>
          </w:rPr>
          <w:t xml:space="preserve">https://www.nytimes.com/2021/07/15/business/economy/inflation-us-japan.html</w:t>
        </w:r>
      </w:hyperlink>
      <w:r w:rsidDel="00000000" w:rsidR="00000000" w:rsidRPr="00000000">
        <w:rPr>
          <w:sz w:val="24"/>
          <w:szCs w:val="24"/>
          <w:rtl w:val="0"/>
        </w:rPr>
        <w:t xml:space="preserve"> (July 19, 2021.).</w:t>
      </w:r>
    </w:p>
    <w:p w:rsidR="00000000" w:rsidDel="00000000" w:rsidP="00000000" w:rsidRDefault="00000000" w:rsidRPr="00000000" w14:paraId="00000063">
      <w:pPr>
        <w:ind w:right="1"/>
        <w:rPr>
          <w:sz w:val="24"/>
          <w:szCs w:val="24"/>
        </w:rPr>
      </w:pPr>
      <w:r w:rsidDel="00000000" w:rsidR="00000000" w:rsidRPr="00000000">
        <w:rPr>
          <w:rtl w:val="0"/>
        </w:rPr>
      </w:r>
    </w:p>
    <w:sectPr>
      <w:headerReference r:id="rId19" w:type="default"/>
      <w:headerReference r:id="rId20" w:type="first"/>
      <w:footerReference r:id="rId21" w:type="default"/>
      <w:footerReference r:id="rId22" w:type="even"/>
      <w:pgSz w:h="16840" w:w="11907"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Symbol" w:cs="Symbol" w:eastAsia="Symbol" w:hAnsi="Symbol"/>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Information about the Author: Forename, Surname, title, affiliation (e.g., official position, represented university, department, faculty, its address). Possible information about Author’s scientific interests, most important works, positions held in scientific and official organs, etc. Author’s e-mail, ORCID number.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Example: Gábor Hulkó, JUDr., PhD., Associate Professor for Administrative Law, Department of Administrative and Financial Law, Faculty of Law, Széchenyi István University, Győr, Hungary. Author specializes in comparative administrative law, local government regulation and finances and media regulation. He is the author of several books/book chapters and numerous reviewed articles in professional journals. He is a member of Information and Organization Centre for the Research on the Public Finances and Tax Law in the Countries of Central and Eastern Europe; editor-in-chief of Institutiones Administrationis - Journal of Administrative Sciences (ISSN: 2786-1929). Contact: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hulko.gabor@ga.sze.hu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hyperlink r:id="rId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https://orcid.org/0000-0002-9139-6893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Abbreviation "n.d." used for "No date".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660650" cy="4618355"/>
          <wp:effectExtent b="0" l="0" r="0" t="0"/>
          <wp:wrapNone/>
          <wp:docPr descr="Revija_PristojnostiSlovenskihObcin_Notranjost_DESNO_v1" id="4" name="image5.png"/>
          <a:graphic>
            <a:graphicData uri="http://schemas.openxmlformats.org/drawingml/2006/picture">
              <pic:pic>
                <pic:nvPicPr>
                  <pic:cNvPr descr="Revija_PristojnostiSlovenskihObcin_Notranjost_DESNO_v1" id="0" name="image5.png"/>
                  <pic:cNvPicPr preferRelativeResize="0"/>
                </pic:nvPicPr>
                <pic:blipFill>
                  <a:blip r:embed="rId1"/>
                  <a:srcRect b="0" l="0" r="0" t="0"/>
                  <a:stretch>
                    <a:fillRect/>
                  </a:stretch>
                </pic:blipFill>
                <pic:spPr>
                  <a:xfrm>
                    <a:off x="0" y="0"/>
                    <a:ext cx="2660650" cy="461835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880360" cy="4615815"/>
          <wp:effectExtent b="0" l="0" r="0" t="0"/>
          <wp:wrapNone/>
          <wp:docPr descr="Revija_PristojnostiSlovenskihObcin_Notranjost_DESNO_v1" id="3" name="image4.png"/>
          <a:graphic>
            <a:graphicData uri="http://schemas.openxmlformats.org/drawingml/2006/picture">
              <pic:pic>
                <pic:nvPicPr>
                  <pic:cNvPr descr="Revija_PristojnostiSlovenskihObcin_Notranjost_DESNO_v1" id="0" name="image4.png"/>
                  <pic:cNvPicPr preferRelativeResize="0"/>
                </pic:nvPicPr>
                <pic:blipFill>
                  <a:blip r:embed="rId2"/>
                  <a:srcRect b="0" l="0" r="0" t="0"/>
                  <a:stretch>
                    <a:fillRect/>
                  </a:stretch>
                </pic:blipFill>
                <pic:spPr>
                  <a:xfrm>
                    <a:off x="0" y="0"/>
                    <a:ext cx="2880360" cy="461581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2880360" cy="4615815"/>
          <wp:effectExtent b="0" l="0" r="0" t="0"/>
          <wp:wrapNone/>
          <wp:docPr descr="Revija_PristojnostiSlovenskihObcin_Notranjost_DESNO_v1" id="1" name="image3.png"/>
          <a:graphic>
            <a:graphicData uri="http://schemas.openxmlformats.org/drawingml/2006/picture">
              <pic:pic>
                <pic:nvPicPr>
                  <pic:cNvPr descr="Revija_PristojnostiSlovenskihObcin_Notranjost_DESNO_v1" id="0" name="image3.png"/>
                  <pic:cNvPicPr preferRelativeResize="0"/>
                </pic:nvPicPr>
                <pic:blipFill>
                  <a:blip r:embed="rId3"/>
                  <a:srcRect b="0" l="0" r="0" t="0"/>
                  <a:stretch>
                    <a:fillRect/>
                  </a:stretch>
                </pic:blipFill>
                <pic:spPr>
                  <a:xfrm>
                    <a:off x="0" y="0"/>
                    <a:ext cx="2880360" cy="461581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WordPictureWatermark1" style="position:absolute;width:226.8pt;height:363.45pt;rotation:0;z-index:-503316481;mso-position-horizontal-relative:margin;mso-position-horizontal:center;mso-position-vertical-relative:margin;mso-position-vertical:center;" alt="" type="#_x0000_t75">
          <v:imagedata cropbottom="0f" cropleft="0f" cropright="0f" croptop="0f" r:id="rId4"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720" w:firstLine="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440" w:firstLine="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160" w:firstLine="0"/>
    </w:pPr>
    <w:rPr>
      <w:b w:val="1"/>
      <w:sz w:val="28"/>
      <w:szCs w:val="28"/>
    </w:rPr>
  </w:style>
  <w:style w:type="paragraph" w:styleId="Heading5">
    <w:name w:val="heading 5"/>
    <w:basedOn w:val="Normal"/>
    <w:next w:val="Normal"/>
    <w:pPr>
      <w:spacing w:after="60" w:before="240" w:lineRule="auto"/>
      <w:ind w:left="2880" w:firstLine="0"/>
    </w:pPr>
    <w:rPr>
      <w:b w:val="1"/>
      <w:i w:val="1"/>
      <w:sz w:val="26"/>
      <w:szCs w:val="26"/>
    </w:rPr>
  </w:style>
  <w:style w:type="paragraph" w:styleId="Heading6">
    <w:name w:val="heading 6"/>
    <w:basedOn w:val="Normal"/>
    <w:next w:val="Normal"/>
    <w:pPr>
      <w:spacing w:after="60" w:before="240" w:lineRule="auto"/>
      <w:ind w:left="3600" w:firstLine="0"/>
    </w:pPr>
    <w:rPr>
      <w:b w:val="1"/>
      <w:color w:val="222222"/>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i.org/10.1037/15969-000" TargetMode="External"/><Relationship Id="rId22" Type="http://schemas.openxmlformats.org/officeDocument/2006/relationships/footer" Target="footer2.xml"/><Relationship Id="rId10" Type="http://schemas.openxmlformats.org/officeDocument/2006/relationships/hyperlink" Target="http://pdf.truni.sk/zborniky%20/evsuv-2004/sekcia2/Klcovanska.pdf" TargetMode="External"/><Relationship Id="rId21" Type="http://schemas.openxmlformats.org/officeDocument/2006/relationships/footer" Target="footer1.xml"/><Relationship Id="rId13" Type="http://schemas.openxmlformats.org/officeDocument/2006/relationships/hyperlink" Target="https://net.jogtar.hu/jogszabaly?docid=A1300139.tv&amp;dbnum=62&amp;getdoc=1" TargetMode="External"/><Relationship Id="rId12" Type="http://schemas.openxmlformats.org/officeDocument/2006/relationships/hyperlink" Target="https://doktiskjog.sze.hu/downloadmanager/download/nohtml/1/id/35884/m/36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8276/frfu.2016.84/1-04" TargetMode="External"/><Relationship Id="rId15" Type="http://schemas.openxmlformats.org/officeDocument/2006/relationships/hyperlink" Target="https://www.kuria-birosag.hu/hu/joghat/12019-szamu-kmpje-hatarozat" TargetMode="External"/><Relationship Id="rId14" Type="http://schemas.openxmlformats.org/officeDocument/2006/relationships/hyperlink" Target="https://www.zakonyprolidi.cz/cs/1993-6/zneni-20230101" TargetMode="External"/><Relationship Id="rId17" Type="http://schemas.openxmlformats.org/officeDocument/2006/relationships/hyperlink" Target="https://www.vlada.gov.sk/data/files/7306_metodicky_pokyn_uplne-znenie_2018.pdf" TargetMode="External"/><Relationship Id="rId16" Type="http://schemas.openxmlformats.org/officeDocument/2006/relationships/hyperlink" Target="https://eur-lex.europa.eu/legal-content/EN/TXT/PDF/?uri=CELEX:52019XC0607(06)&amp;rid=1"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https://www.nytimes.com/2021/07/15/business/economy/inflation-us-japan.html" TargetMode="External"/><Relationship Id="rId7" Type="http://schemas.openxmlformats.org/officeDocument/2006/relationships/image" Target="media/image1.png"/><Relationship Id="rId8" Type="http://schemas.openxmlformats.org/officeDocument/2006/relationships/hyperlink" Target="http://translit.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hulko.gabor@ga.sze.hu" TargetMode="External"/><Relationship Id="rId2" Type="http://schemas.openxmlformats.org/officeDocument/2006/relationships/hyperlink" Target="https://orcid.org/0000-0002-9139-68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